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D6D2" w14:textId="77777777" w:rsidR="00662A54" w:rsidRPr="00494907" w:rsidRDefault="00662A54" w:rsidP="00662A54">
      <w:pPr>
        <w:spacing w:line="480" w:lineRule="auto"/>
        <w:jc w:val="center"/>
      </w:pPr>
      <w:r w:rsidRPr="00494907">
        <w:softHyphen/>
      </w:r>
    </w:p>
    <w:p w14:paraId="01A8A85B" w14:textId="0874532F" w:rsidR="00662A54" w:rsidRPr="00494907" w:rsidRDefault="00E6152D" w:rsidP="00662A54">
      <w:pPr>
        <w:spacing w:line="480" w:lineRule="auto"/>
        <w:jc w:val="center"/>
      </w:pPr>
      <w:r>
        <w:softHyphen/>
      </w:r>
      <w:r>
        <w:softHyphen/>
      </w:r>
      <w:r>
        <w:softHyphen/>
      </w:r>
    </w:p>
    <w:p w14:paraId="110C1ABE" w14:textId="77777777" w:rsidR="00662A54" w:rsidRPr="00494907" w:rsidRDefault="00662A54" w:rsidP="00662A54">
      <w:pPr>
        <w:spacing w:line="480" w:lineRule="auto"/>
        <w:jc w:val="center"/>
      </w:pPr>
    </w:p>
    <w:p w14:paraId="077680F7" w14:textId="77777777" w:rsidR="00662A54" w:rsidRPr="00494907" w:rsidRDefault="00662A54" w:rsidP="00662A54">
      <w:pPr>
        <w:jc w:val="center"/>
        <w:rPr>
          <w:b/>
          <w:color w:val="000000" w:themeColor="text1"/>
        </w:rPr>
      </w:pPr>
    </w:p>
    <w:p w14:paraId="33C7D5B9" w14:textId="77777777" w:rsidR="00662A54" w:rsidRPr="00494907" w:rsidRDefault="00662A54" w:rsidP="00662A54">
      <w:pPr>
        <w:jc w:val="center"/>
        <w:rPr>
          <w:b/>
          <w:color w:val="000000" w:themeColor="text1"/>
        </w:rPr>
      </w:pPr>
    </w:p>
    <w:p w14:paraId="185B1254" w14:textId="77777777" w:rsidR="00662A54" w:rsidRPr="00494907" w:rsidRDefault="00662A54" w:rsidP="00662A54">
      <w:pPr>
        <w:jc w:val="center"/>
        <w:rPr>
          <w:b/>
          <w:color w:val="000000" w:themeColor="text1"/>
        </w:rPr>
      </w:pPr>
    </w:p>
    <w:p w14:paraId="0105E64A" w14:textId="77777777" w:rsidR="00662A54" w:rsidRPr="00494907" w:rsidRDefault="00662A54" w:rsidP="00662A54">
      <w:pPr>
        <w:jc w:val="center"/>
        <w:rPr>
          <w:b/>
          <w:color w:val="000000" w:themeColor="text1"/>
        </w:rPr>
      </w:pPr>
    </w:p>
    <w:p w14:paraId="719E43DE" w14:textId="2CDD3A30" w:rsidR="00662A54" w:rsidRDefault="00662A54" w:rsidP="00662A54">
      <w:pPr>
        <w:spacing w:line="480" w:lineRule="auto"/>
        <w:jc w:val="center"/>
        <w:rPr>
          <w:b/>
          <w:color w:val="000000" w:themeColor="text1"/>
        </w:rPr>
      </w:pPr>
    </w:p>
    <w:p w14:paraId="269B9F73" w14:textId="1BFC669D" w:rsidR="000625EE" w:rsidRDefault="00BC23DF" w:rsidP="002A0CB3">
      <w:pPr>
        <w:spacing w:line="480" w:lineRule="auto"/>
        <w:rPr>
          <w:b/>
          <w:bCs/>
        </w:rPr>
      </w:pPr>
      <w:r>
        <w:rPr>
          <w:b/>
          <w:bCs/>
        </w:rPr>
        <w:t xml:space="preserve"> </w:t>
      </w:r>
    </w:p>
    <w:p w14:paraId="36A4FAC3" w14:textId="5F764B95" w:rsidR="00656F33" w:rsidRPr="007C7876" w:rsidRDefault="00BC23DF" w:rsidP="007C7876">
      <w:pPr>
        <w:spacing w:line="480" w:lineRule="auto"/>
        <w:jc w:val="center"/>
        <w:rPr>
          <w:b/>
          <w:bCs/>
        </w:rPr>
      </w:pPr>
      <w:r>
        <w:rPr>
          <w:b/>
          <w:bCs/>
        </w:rPr>
        <w:t>The Progression f</w:t>
      </w:r>
      <w:r w:rsidR="007C7876">
        <w:rPr>
          <w:b/>
          <w:bCs/>
        </w:rPr>
        <w:t xml:space="preserve">rom </w:t>
      </w:r>
      <w:r>
        <w:rPr>
          <w:b/>
          <w:bCs/>
        </w:rPr>
        <w:t>D</w:t>
      </w:r>
      <w:r w:rsidR="000F6978">
        <w:rPr>
          <w:b/>
          <w:bCs/>
        </w:rPr>
        <w:t>iscussing</w:t>
      </w:r>
      <w:r w:rsidR="007C7876">
        <w:rPr>
          <w:b/>
          <w:bCs/>
        </w:rPr>
        <w:t xml:space="preserve"> Overrepresentation to </w:t>
      </w:r>
      <w:r w:rsidR="00E233D7">
        <w:rPr>
          <w:b/>
          <w:bCs/>
        </w:rPr>
        <w:t xml:space="preserve">Implementing </w:t>
      </w:r>
      <w:r w:rsidR="00656F33" w:rsidRPr="00656F33">
        <w:rPr>
          <w:b/>
          <w:bCs/>
        </w:rPr>
        <w:t>Cultural</w:t>
      </w:r>
      <w:r w:rsidR="000625EE">
        <w:rPr>
          <w:b/>
          <w:bCs/>
        </w:rPr>
        <w:t>ly</w:t>
      </w:r>
      <w:r w:rsidR="00656F33" w:rsidRPr="00656F33">
        <w:rPr>
          <w:b/>
          <w:bCs/>
        </w:rPr>
        <w:t xml:space="preserve"> </w:t>
      </w:r>
      <w:r w:rsidR="000625EE" w:rsidRPr="00656F33">
        <w:rPr>
          <w:b/>
          <w:bCs/>
        </w:rPr>
        <w:t>Adapted</w:t>
      </w:r>
      <w:r w:rsidR="000625EE">
        <w:rPr>
          <w:b/>
          <w:bCs/>
        </w:rPr>
        <w:t xml:space="preserve"> </w:t>
      </w:r>
      <w:r w:rsidR="00E233D7">
        <w:rPr>
          <w:b/>
          <w:bCs/>
        </w:rPr>
        <w:t xml:space="preserve">Social, Emotional, and Behavioral </w:t>
      </w:r>
      <w:r w:rsidR="00656F33" w:rsidRPr="00656F33">
        <w:rPr>
          <w:b/>
          <w:bCs/>
        </w:rPr>
        <w:t>Interventions</w:t>
      </w:r>
    </w:p>
    <w:p w14:paraId="45C616F9" w14:textId="128A3300" w:rsidR="00662A54" w:rsidRPr="00656F33" w:rsidRDefault="00656F33" w:rsidP="00662A54">
      <w:pPr>
        <w:spacing w:line="480" w:lineRule="auto"/>
        <w:jc w:val="center"/>
        <w:rPr>
          <w:bCs/>
          <w:color w:val="000000" w:themeColor="text1"/>
        </w:rPr>
      </w:pPr>
      <w:r w:rsidRPr="00656F33">
        <w:rPr>
          <w:bCs/>
          <w:color w:val="000000" w:themeColor="text1"/>
        </w:rPr>
        <w:t>Portfolio II</w:t>
      </w:r>
      <w:r w:rsidR="00E233D7">
        <w:rPr>
          <w:bCs/>
          <w:color w:val="000000" w:themeColor="text1"/>
        </w:rPr>
        <w:t xml:space="preserve"> </w:t>
      </w:r>
      <w:r w:rsidR="003D783E" w:rsidRPr="00656F33">
        <w:rPr>
          <w:bCs/>
          <w:color w:val="000000" w:themeColor="text1"/>
        </w:rPr>
        <w:t>Foundational and Contemporary Literature</w:t>
      </w:r>
      <w:r w:rsidR="00EE1B29" w:rsidRPr="00656F33">
        <w:rPr>
          <w:bCs/>
          <w:color w:val="000000" w:themeColor="text1"/>
        </w:rPr>
        <w:t xml:space="preserve"> Essay</w:t>
      </w:r>
    </w:p>
    <w:p w14:paraId="5B6C1BEE" w14:textId="77777777" w:rsidR="00662A54" w:rsidRPr="00494907" w:rsidRDefault="00662A54" w:rsidP="00662A54">
      <w:pPr>
        <w:spacing w:line="480" w:lineRule="auto"/>
        <w:jc w:val="center"/>
        <w:rPr>
          <w:color w:val="000000" w:themeColor="text1"/>
        </w:rPr>
      </w:pPr>
      <w:r w:rsidRPr="00494907">
        <w:rPr>
          <w:color w:val="000000" w:themeColor="text1"/>
        </w:rPr>
        <w:t>Kia R. Felder Williams</w:t>
      </w:r>
    </w:p>
    <w:p w14:paraId="70D20C95" w14:textId="47BCB0F3" w:rsidR="00662A54" w:rsidRPr="00494907" w:rsidRDefault="00662A54" w:rsidP="00662A54">
      <w:pPr>
        <w:spacing w:line="480" w:lineRule="auto"/>
        <w:jc w:val="center"/>
        <w:rPr>
          <w:color w:val="000000" w:themeColor="text1"/>
        </w:rPr>
      </w:pPr>
      <w:r w:rsidRPr="00494907">
        <w:rPr>
          <w:color w:val="000000" w:themeColor="text1"/>
        </w:rPr>
        <w:t>Dr. Joy Banks</w:t>
      </w:r>
      <w:r w:rsidR="00636423">
        <w:rPr>
          <w:color w:val="000000" w:themeColor="text1"/>
        </w:rPr>
        <w:t>, Dr. Anna Evmenova, Dr. Megan Call-Cummings</w:t>
      </w:r>
    </w:p>
    <w:p w14:paraId="4539B3A1" w14:textId="77777777" w:rsidR="00662A54" w:rsidRPr="00494907" w:rsidRDefault="00662A54" w:rsidP="00662A54">
      <w:pPr>
        <w:spacing w:line="480" w:lineRule="auto"/>
        <w:jc w:val="center"/>
        <w:rPr>
          <w:color w:val="000000" w:themeColor="text1"/>
        </w:rPr>
      </w:pPr>
      <w:r w:rsidRPr="00494907">
        <w:rPr>
          <w:color w:val="000000" w:themeColor="text1"/>
        </w:rPr>
        <w:t>George Mason University</w:t>
      </w:r>
    </w:p>
    <w:p w14:paraId="1FB66B9D" w14:textId="70F8CF96" w:rsidR="00662A54" w:rsidRPr="00494907" w:rsidRDefault="00662A54" w:rsidP="00662A54">
      <w:pPr>
        <w:spacing w:line="480" w:lineRule="auto"/>
        <w:jc w:val="center"/>
        <w:rPr>
          <w:color w:val="000000" w:themeColor="text1"/>
        </w:rPr>
      </w:pPr>
      <w:r w:rsidRPr="00494907">
        <w:rPr>
          <w:color w:val="000000" w:themeColor="text1"/>
        </w:rPr>
        <w:t>January 2023</w:t>
      </w:r>
    </w:p>
    <w:p w14:paraId="14408F47" w14:textId="77777777" w:rsidR="00662A54" w:rsidRPr="00494907" w:rsidRDefault="00662A54">
      <w:pPr>
        <w:rPr>
          <w:b/>
          <w:bCs/>
          <w:color w:val="000000" w:themeColor="text1"/>
        </w:rPr>
      </w:pPr>
      <w:r w:rsidRPr="00494907">
        <w:rPr>
          <w:color w:val="000000" w:themeColor="text1"/>
        </w:rPr>
        <w:br w:type="page"/>
      </w:r>
    </w:p>
    <w:p w14:paraId="041D71D9" w14:textId="27706E16" w:rsidR="000F6978" w:rsidRPr="000F6978" w:rsidRDefault="000F6978" w:rsidP="000F6978">
      <w:pPr>
        <w:spacing w:line="480" w:lineRule="auto"/>
        <w:jc w:val="center"/>
        <w:rPr>
          <w:b/>
          <w:bCs/>
          <w:caps/>
        </w:rPr>
      </w:pPr>
      <w:r w:rsidRPr="000F6978">
        <w:rPr>
          <w:b/>
          <w:bCs/>
          <w:caps/>
        </w:rPr>
        <w:lastRenderedPageBreak/>
        <w:t xml:space="preserve">The Progression from Discussing Overrepresentation to </w:t>
      </w:r>
      <w:r w:rsidR="00E233D7">
        <w:rPr>
          <w:b/>
          <w:bCs/>
          <w:caps/>
        </w:rPr>
        <w:t xml:space="preserve">IMPLEMENTING </w:t>
      </w:r>
      <w:r w:rsidRPr="000F6978">
        <w:rPr>
          <w:b/>
          <w:bCs/>
          <w:caps/>
        </w:rPr>
        <w:t>Culturally Adapted Interventions</w:t>
      </w:r>
    </w:p>
    <w:p w14:paraId="73AE5BE7" w14:textId="55F8A361" w:rsidR="007C7876" w:rsidRDefault="007C7876" w:rsidP="007C7876">
      <w:pPr>
        <w:spacing w:line="480" w:lineRule="auto"/>
        <w:ind w:firstLine="720"/>
        <w:jc w:val="both"/>
      </w:pPr>
      <w:r>
        <w:t>S</w:t>
      </w:r>
      <w:r w:rsidRPr="007C7876">
        <w:t xml:space="preserve">tudents of color experience educational inequities, which are especially pronounced when it comes to discipline rates as well as the enrollment </w:t>
      </w:r>
      <w:r>
        <w:t>in</w:t>
      </w:r>
      <w:r w:rsidRPr="007C7876">
        <w:t xml:space="preserve"> special education. Students of certain racial and ethnic groups are disproportionately identified for special education, placed in more restrictive educational environments, and disciplined at higher rates than their peers, a phenomenon known as significant disproportionality. The intersectionality between race and special education can cause students of color to be misidentified as needing special education due to bias within the educational system</w:t>
      </w:r>
      <w:r>
        <w:t>,</w:t>
      </w:r>
      <w:r w:rsidRPr="007C7876">
        <w:t xml:space="preserve"> including within assessments and academic policies</w:t>
      </w:r>
      <w:r>
        <w:t>,</w:t>
      </w:r>
      <w:r w:rsidRPr="007C7876">
        <w:t xml:space="preserve"> placed in more restrictive settings and subjected to harsher discipline. </w:t>
      </w:r>
      <w:r>
        <w:t>As a result, s</w:t>
      </w:r>
      <w:r w:rsidRPr="007C7876">
        <w:t>tudents may suffer adverse effects if they are misidentified as needing special education</w:t>
      </w:r>
      <w:r>
        <w:t>.</w:t>
      </w:r>
    </w:p>
    <w:p w14:paraId="3A2029F9" w14:textId="7349C8E6" w:rsidR="0049641F" w:rsidRDefault="0049641F" w:rsidP="006D3EE1">
      <w:pPr>
        <w:spacing w:line="480" w:lineRule="auto"/>
        <w:ind w:firstLine="720"/>
        <w:jc w:val="both"/>
      </w:pPr>
      <w:r>
        <w:t xml:space="preserve">Historical and modern literature have examined the </w:t>
      </w:r>
      <w:r w:rsidR="005734F6">
        <w:t xml:space="preserve">root and </w:t>
      </w:r>
      <w:r>
        <w:t xml:space="preserve">causes of </w:t>
      </w:r>
      <w:r w:rsidR="007C7876">
        <w:t xml:space="preserve">racial and ethnic </w:t>
      </w:r>
      <w:r>
        <w:t>representation</w:t>
      </w:r>
      <w:r w:rsidR="005734F6">
        <w:t xml:space="preserve"> imbalance in special education</w:t>
      </w:r>
      <w:r>
        <w:t>. Social and environmental factors such as poverty and ethnicity (Artiles, Kozleski, Trent, Osher, &amp; Ortiz, 2010; National Research Council, 2002), as well as educational factors, such as inequities in the referral process</w:t>
      </w:r>
      <w:r w:rsidR="006D3EE1">
        <w:t>,</w:t>
      </w:r>
      <w:r>
        <w:t xml:space="preserve"> </w:t>
      </w:r>
      <w:r w:rsidR="007C7876">
        <w:t>often emerge a</w:t>
      </w:r>
      <w:r w:rsidR="005734F6">
        <w:t>s</w:t>
      </w:r>
      <w:r w:rsidR="007C7876">
        <w:t xml:space="preserve"> the root </w:t>
      </w:r>
      <w:r w:rsidR="005734F6">
        <w:t>cause</w:t>
      </w:r>
      <w:r w:rsidR="00636423">
        <w:t xml:space="preserve"> (National Research Council, 2002)</w:t>
      </w:r>
      <w:r>
        <w:t xml:space="preserve">. Other research has focused on economic inequity and race as predictors (e.g. Skiba, Simmons, Ritter, Gibb, et al., 2008). </w:t>
      </w:r>
    </w:p>
    <w:p w14:paraId="0E8FAF82" w14:textId="795A059F" w:rsidR="008206BD" w:rsidRDefault="0006197D" w:rsidP="00674B7B">
      <w:pPr>
        <w:spacing w:line="480" w:lineRule="auto"/>
        <w:ind w:firstLine="720"/>
      </w:pPr>
      <w:r>
        <w:t>Over the last decade, t</w:t>
      </w:r>
      <w:r w:rsidR="0049641F">
        <w:t xml:space="preserve">he </w:t>
      </w:r>
      <w:r w:rsidR="00636423">
        <w:t xml:space="preserve">overrepresentation </w:t>
      </w:r>
      <w:r w:rsidR="0049641F">
        <w:t xml:space="preserve">debate has shifted from </w:t>
      </w:r>
      <w:r>
        <w:t xml:space="preserve">“why?” </w:t>
      </w:r>
      <w:r w:rsidR="0049641F">
        <w:t xml:space="preserve">to </w:t>
      </w:r>
      <w:r>
        <w:t>“now what</w:t>
      </w:r>
      <w:r w:rsidR="005734F6">
        <w:t>?”.</w:t>
      </w:r>
      <w:r>
        <w:t xml:space="preserve"> In the last decade, c</w:t>
      </w:r>
      <w:r w:rsidRPr="0006197D">
        <w:t xml:space="preserve">ultural </w:t>
      </w:r>
      <w:r>
        <w:t>a</w:t>
      </w:r>
      <w:r w:rsidRPr="0006197D">
        <w:t xml:space="preserve">daptations of </w:t>
      </w:r>
      <w:r>
        <w:t>s</w:t>
      </w:r>
      <w:r w:rsidRPr="0006197D">
        <w:t xml:space="preserve">ocial, </w:t>
      </w:r>
      <w:r>
        <w:t>e</w:t>
      </w:r>
      <w:r w:rsidRPr="0006197D">
        <w:t xml:space="preserve">motional, and </w:t>
      </w:r>
      <w:r>
        <w:t>b</w:t>
      </w:r>
      <w:r w:rsidRPr="0006197D">
        <w:t xml:space="preserve">ehavioral </w:t>
      </w:r>
      <w:r>
        <w:t>i</w:t>
      </w:r>
      <w:r w:rsidRPr="0006197D">
        <w:t xml:space="preserve">nterventions for </w:t>
      </w:r>
      <w:r>
        <w:t>s</w:t>
      </w:r>
      <w:r w:rsidRPr="0006197D">
        <w:t xml:space="preserve">tudents of </w:t>
      </w:r>
      <w:r>
        <w:t>c</w:t>
      </w:r>
      <w:r w:rsidRPr="0006197D">
        <w:t>olor</w:t>
      </w:r>
      <w:r>
        <w:t xml:space="preserve"> have emerged as </w:t>
      </w:r>
      <w:r w:rsidR="005734F6">
        <w:t xml:space="preserve">an effective mitigator </w:t>
      </w:r>
      <w:r>
        <w:t xml:space="preserve">to this imbalance. </w:t>
      </w:r>
    </w:p>
    <w:p w14:paraId="29952382" w14:textId="4B437497" w:rsidR="0049641F" w:rsidRPr="003B4AD6" w:rsidRDefault="005734F6" w:rsidP="0049641F">
      <w:pPr>
        <w:spacing w:line="480" w:lineRule="auto"/>
        <w:rPr>
          <w:b/>
          <w:bCs/>
        </w:rPr>
      </w:pPr>
      <w:r>
        <w:rPr>
          <w:b/>
          <w:bCs/>
        </w:rPr>
        <w:t>Historical Root of Overrepresentation</w:t>
      </w:r>
    </w:p>
    <w:p w14:paraId="1D9B7989" w14:textId="3CC84258" w:rsidR="0049641F" w:rsidRDefault="0049641F" w:rsidP="00674B7B">
      <w:pPr>
        <w:spacing w:line="480" w:lineRule="auto"/>
        <w:ind w:firstLine="720"/>
      </w:pPr>
      <w:r>
        <w:t xml:space="preserve">Predating </w:t>
      </w:r>
      <w:r w:rsidR="00674B7B">
        <w:t>seminal</w:t>
      </w:r>
      <w:r w:rsidR="00636423">
        <w:t xml:space="preserve"> </w:t>
      </w:r>
      <w:r>
        <w:t xml:space="preserve">special education legislation, </w:t>
      </w:r>
      <w:r w:rsidRPr="00BD23F8">
        <w:t>scholars</w:t>
      </w:r>
      <w:r>
        <w:t xml:space="preserve"> Dunn (1968) and Mercer</w:t>
      </w:r>
      <w:r w:rsidRPr="004C41EA">
        <w:t xml:space="preserve"> (1973)</w:t>
      </w:r>
      <w:r>
        <w:t>,</w:t>
      </w:r>
      <w:r w:rsidRPr="004C41EA">
        <w:t xml:space="preserve"> questioned the social constructions of mild disabilities</w:t>
      </w:r>
      <w:r>
        <w:t>,</w:t>
      </w:r>
      <w:r w:rsidRPr="004C41EA">
        <w:t xml:space="preserve"> and the practice of categoriz</w:t>
      </w:r>
      <w:r>
        <w:t>ing</w:t>
      </w:r>
      <w:r w:rsidRPr="004C41EA">
        <w:t xml:space="preserve"> children </w:t>
      </w:r>
      <w:r>
        <w:lastRenderedPageBreak/>
        <w:t>at</w:t>
      </w:r>
      <w:r w:rsidRPr="004C41EA">
        <w:t xml:space="preserve"> the intersections of race, culture, socioeconomic status, and perceived ability.</w:t>
      </w:r>
      <w:r>
        <w:t xml:space="preserve"> Since the early scholarship of Dunn and Mercer, </w:t>
      </w:r>
      <w:r w:rsidRPr="00CF58D1">
        <w:t xml:space="preserve">overrepresentation has been litigated in </w:t>
      </w:r>
      <w:r>
        <w:t xml:space="preserve">the </w:t>
      </w:r>
      <w:r w:rsidRPr="00CF58D1">
        <w:t>court</w:t>
      </w:r>
      <w:r>
        <w:t xml:space="preserve">s. Cases such as </w:t>
      </w:r>
      <w:r w:rsidRPr="007D08EB">
        <w:rPr>
          <w:i/>
          <w:iCs/>
        </w:rPr>
        <w:t>Larry P. v. Riles</w:t>
      </w:r>
      <w:r>
        <w:t xml:space="preserve"> (</w:t>
      </w:r>
      <w:r w:rsidRPr="00CF58D1">
        <w:t>1972/1974/1979/1984</w:t>
      </w:r>
      <w:r>
        <w:t xml:space="preserve">) and </w:t>
      </w:r>
      <w:r>
        <w:rPr>
          <w:i/>
          <w:iCs/>
        </w:rPr>
        <w:t xml:space="preserve">Parents in Action on Special </w:t>
      </w:r>
      <w:r w:rsidRPr="00A960AF">
        <w:rPr>
          <w:i/>
          <w:iCs/>
        </w:rPr>
        <w:t>Education [PASE]</w:t>
      </w:r>
      <w:r>
        <w:rPr>
          <w:i/>
          <w:iCs/>
        </w:rPr>
        <w:t xml:space="preserve"> v. </w:t>
      </w:r>
      <w:r w:rsidRPr="003839D5">
        <w:t>Hannon</w:t>
      </w:r>
      <w:r>
        <w:t xml:space="preserve"> (1980), </w:t>
      </w:r>
      <w:r w:rsidRPr="003839D5">
        <w:t>were</w:t>
      </w:r>
      <w:r>
        <w:t xml:space="preserve"> precedent setting cases question</w:t>
      </w:r>
      <w:r w:rsidR="006D3EE1">
        <w:t>ing</w:t>
      </w:r>
      <w:r>
        <w:t xml:space="preserve"> the reliability of assessments </w:t>
      </w:r>
      <w:r w:rsidR="00674B7B">
        <w:t>as</w:t>
      </w:r>
      <w:r>
        <w:t xml:space="preserve"> indicator</w:t>
      </w:r>
      <w:r w:rsidR="00674B7B">
        <w:t>s</w:t>
      </w:r>
      <w:r>
        <w:t xml:space="preserve"> of intelligence and predictor</w:t>
      </w:r>
      <w:r w:rsidR="00674B7B">
        <w:t>s</w:t>
      </w:r>
      <w:r>
        <w:t xml:space="preserve"> of ability</w:t>
      </w:r>
      <w:r w:rsidR="006D3EE1">
        <w:t xml:space="preserve">. These cases </w:t>
      </w:r>
      <w:r w:rsidR="00380732">
        <w:t xml:space="preserve">posited that inherent bias exists in </w:t>
      </w:r>
      <w:r w:rsidR="006D3EE1">
        <w:t>intelligence (IQ)</w:t>
      </w:r>
      <w:r w:rsidR="00380732">
        <w:t xml:space="preserve"> and other assessments</w:t>
      </w:r>
      <w:r>
        <w:t xml:space="preserve">. </w:t>
      </w:r>
      <w:r w:rsidRPr="007D08EB">
        <w:rPr>
          <w:i/>
          <w:iCs/>
        </w:rPr>
        <w:t>Larry P. v. Riles</w:t>
      </w:r>
      <w:r w:rsidR="00380732">
        <w:rPr>
          <w:i/>
          <w:iCs/>
        </w:rPr>
        <w:t xml:space="preserve"> (Larry P.)</w:t>
      </w:r>
      <w:r>
        <w:rPr>
          <w:i/>
          <w:iCs/>
        </w:rPr>
        <w:t xml:space="preserve">, </w:t>
      </w:r>
      <w:r w:rsidRPr="007D08EB">
        <w:t>filed in 1971</w:t>
      </w:r>
      <w:r>
        <w:t>,</w:t>
      </w:r>
      <w:r w:rsidRPr="007D08EB">
        <w:t xml:space="preserve"> </w:t>
      </w:r>
      <w:r>
        <w:t xml:space="preserve">represented </w:t>
      </w:r>
      <w:r w:rsidRPr="007D08EB">
        <w:t>five African-American children</w:t>
      </w:r>
      <w:r>
        <w:t xml:space="preserve"> </w:t>
      </w:r>
      <w:r w:rsidRPr="007D08EB">
        <w:t>in the San Francisco Unified School District placed in special education classes for the educable mentally retarded (EMR)</w:t>
      </w:r>
      <w:r>
        <w:t>.</w:t>
      </w:r>
      <w:r w:rsidRPr="007D08EB">
        <w:t xml:space="preserve"> </w:t>
      </w:r>
      <w:r>
        <w:t>The law</w:t>
      </w:r>
      <w:r w:rsidRPr="007D08EB">
        <w:t>suit claim</w:t>
      </w:r>
      <w:r>
        <w:t>ed</w:t>
      </w:r>
      <w:r w:rsidRPr="007D08EB">
        <w:t xml:space="preserve"> that the</w:t>
      </w:r>
      <w:r>
        <w:t xml:space="preserve"> students</w:t>
      </w:r>
      <w:r w:rsidRPr="007D08EB">
        <w:t xml:space="preserve"> had been wrongly placed in the class based on their performance on </w:t>
      </w:r>
      <w:r>
        <w:t xml:space="preserve">IQ </w:t>
      </w:r>
      <w:r w:rsidRPr="007D08EB">
        <w:t>tests that were racially biased and discriminatory.</w:t>
      </w:r>
      <w:r>
        <w:t xml:space="preserve"> </w:t>
      </w:r>
      <w:r w:rsidRPr="007D08EB">
        <w:t>The suit also claimed that a disproportionate total number of African-American students were placed in EMR classes compared to the number of African-American students in the school system.</w:t>
      </w:r>
      <w:r>
        <w:t xml:space="preserve"> </w:t>
      </w:r>
      <w:r w:rsidRPr="007D59F1">
        <w:t xml:space="preserve">The Court </w:t>
      </w:r>
      <w:r>
        <w:t xml:space="preserve">ruled </w:t>
      </w:r>
      <w:r w:rsidRPr="007D59F1">
        <w:t xml:space="preserve">in favor of the students, and the District was prohibited from using IQ tests to identify </w:t>
      </w:r>
      <w:r w:rsidR="00380732">
        <w:t>and</w:t>
      </w:r>
      <w:r w:rsidRPr="007D59F1">
        <w:t xml:space="preserve"> place African-American students in EMR classes. The </w:t>
      </w:r>
      <w:r>
        <w:t>d</w:t>
      </w:r>
      <w:r w:rsidRPr="007D59F1">
        <w:t>ecision</w:t>
      </w:r>
      <w:r w:rsidR="00674B7B">
        <w:t>,</w:t>
      </w:r>
      <w:r w:rsidRPr="007D59F1">
        <w:t xml:space="preserve"> upheld in 1984</w:t>
      </w:r>
      <w:r>
        <w:t xml:space="preserve">, </w:t>
      </w:r>
      <w:r w:rsidRPr="007D59F1">
        <w:t xml:space="preserve">expanded its ruling </w:t>
      </w:r>
      <w:r>
        <w:t>and</w:t>
      </w:r>
      <w:r w:rsidRPr="007D59F1">
        <w:t xml:space="preserve"> bann</w:t>
      </w:r>
      <w:r>
        <w:t>ed</w:t>
      </w:r>
      <w:r w:rsidRPr="007D59F1">
        <w:t xml:space="preserve"> the use of IQ testing for all African-American students referred for special education services.</w:t>
      </w:r>
    </w:p>
    <w:p w14:paraId="7396E0C8" w14:textId="6CEA7A13" w:rsidR="00674B7B" w:rsidRDefault="00583BD8" w:rsidP="00583BD8">
      <w:pPr>
        <w:spacing w:line="480" w:lineRule="auto"/>
        <w:ind w:firstLine="720"/>
      </w:pPr>
      <w:r w:rsidRPr="00E80180">
        <w:rPr>
          <w:i/>
          <w:iCs/>
        </w:rPr>
        <w:t>Larry P</w:t>
      </w:r>
      <w:r>
        <w:t>. was a precedent-setting case because it not only involved assessment bias, but also implied th</w:t>
      </w:r>
      <w:r w:rsidR="00F772F5">
        <w:t>at</w:t>
      </w:r>
      <w:r>
        <w:t xml:space="preserve"> stigma associated with classification and labelling</w:t>
      </w:r>
      <w:r w:rsidR="00F772F5">
        <w:t xml:space="preserve"> </w:t>
      </w:r>
      <w:r>
        <w:t>may contribute to educational failure</w:t>
      </w:r>
      <w:r w:rsidR="00674B7B">
        <w:t xml:space="preserve"> (Artiles et al., 2015)</w:t>
      </w:r>
      <w:r>
        <w:t xml:space="preserve">. </w:t>
      </w:r>
      <w:r w:rsidR="006930CE" w:rsidRPr="00F772F5">
        <w:t>At the time of this case, African-American children comprised 27% of the population with EMR but only 9% of the California population. The state of California was ordered to stop using any standardized intelligence test for the identification of African-American students with EMR unless it was proven to be free of racial or cultural bias.</w:t>
      </w:r>
      <w:r w:rsidR="006930CE">
        <w:t xml:space="preserve"> </w:t>
      </w:r>
      <w:r>
        <w:t>The relationships among legislation</w:t>
      </w:r>
      <w:r w:rsidR="00F772F5">
        <w:t xml:space="preserve">, </w:t>
      </w:r>
      <w:r>
        <w:t xml:space="preserve">policy, and </w:t>
      </w:r>
      <w:r w:rsidR="00F772F5">
        <w:t xml:space="preserve">practices </w:t>
      </w:r>
      <w:r>
        <w:t xml:space="preserve">of special educators and school psychologists were demonstrated. </w:t>
      </w:r>
    </w:p>
    <w:p w14:paraId="70923C02" w14:textId="454A54DD" w:rsidR="0049641F" w:rsidRDefault="0049641F" w:rsidP="00F772F5">
      <w:pPr>
        <w:spacing w:line="480" w:lineRule="auto"/>
        <w:ind w:firstLine="720"/>
      </w:pPr>
      <w:r>
        <w:lastRenderedPageBreak/>
        <w:t xml:space="preserve">Bias in assessments was further supported in the </w:t>
      </w:r>
      <w:r w:rsidRPr="00A960AF">
        <w:rPr>
          <w:i/>
          <w:iCs/>
        </w:rPr>
        <w:t>Parents in Action on Special Education [PASE] v. Hannon</w:t>
      </w:r>
      <w:r>
        <w:t xml:space="preserve"> (</w:t>
      </w:r>
      <w:r w:rsidRPr="00CF58D1">
        <w:t>1980</w:t>
      </w:r>
      <w:r>
        <w:t xml:space="preserve">) class action lawsuit, which </w:t>
      </w:r>
      <w:r w:rsidRPr="004357C0">
        <w:t xml:space="preserve">decided that the use of IQ tests </w:t>
      </w:r>
      <w:r>
        <w:t xml:space="preserve">were </w:t>
      </w:r>
      <w:r w:rsidRPr="004357C0">
        <w:t>culturally biased against African-American students</w:t>
      </w:r>
      <w:r w:rsidR="00F772F5">
        <w:t>. S</w:t>
      </w:r>
      <w:r>
        <w:t xml:space="preserve">ubsequently, </w:t>
      </w:r>
      <w:r w:rsidR="0006197D">
        <w:t>utilizing IQ tests to determine</w:t>
      </w:r>
      <w:r w:rsidRPr="004357C0">
        <w:t xml:space="preserve"> eligibility </w:t>
      </w:r>
      <w:r w:rsidR="0006197D">
        <w:t xml:space="preserve">for </w:t>
      </w:r>
      <w:r w:rsidRPr="004357C0">
        <w:t>special education</w:t>
      </w:r>
      <w:r w:rsidR="0006197D">
        <w:t xml:space="preserve"> was</w:t>
      </w:r>
      <w:r w:rsidR="00F772F5">
        <w:t xml:space="preserve"> banned </w:t>
      </w:r>
      <w:r w:rsidRPr="004357C0">
        <w:t>in the state of California.</w:t>
      </w:r>
      <w:r>
        <w:t xml:space="preserve"> These cases established the legal precedent that inherent, explicit, and implicit bias</w:t>
      </w:r>
      <w:r w:rsidR="006D3EE1">
        <w:t>es</w:t>
      </w:r>
      <w:r>
        <w:t xml:space="preserve"> exists in assessment</w:t>
      </w:r>
      <w:r w:rsidR="006930CE">
        <w:t xml:space="preserve">. Historically, the courts have been used to influence the direction of special education and to codify </w:t>
      </w:r>
      <w:r>
        <w:rPr>
          <w:i/>
          <w:iCs/>
        </w:rPr>
        <w:t>equal</w:t>
      </w:r>
      <w:r>
        <w:t xml:space="preserve"> educational opportunities regardless of race.</w:t>
      </w:r>
    </w:p>
    <w:p w14:paraId="3514FE41" w14:textId="4FA67F6C" w:rsidR="0049641F" w:rsidRDefault="0049641F" w:rsidP="006D3EE1">
      <w:pPr>
        <w:spacing w:line="480" w:lineRule="auto"/>
        <w:ind w:firstLine="720"/>
      </w:pPr>
      <w:r>
        <w:t xml:space="preserve">In an effort to acknowledge and mitigate the existence of bias in assessment and the negative impact on CLD students, </w:t>
      </w:r>
      <w:r w:rsidR="00F772F5">
        <w:t>additional</w:t>
      </w:r>
      <w:r>
        <w:t xml:space="preserve"> court cases </w:t>
      </w:r>
      <w:r w:rsidR="006930CE">
        <w:t xml:space="preserve">further </w:t>
      </w:r>
      <w:r>
        <w:t>address</w:t>
      </w:r>
      <w:r w:rsidR="00F772F5">
        <w:t>ed</w:t>
      </w:r>
      <w:r>
        <w:t xml:space="preserve"> the problem. </w:t>
      </w:r>
      <w:r w:rsidRPr="008D00F7">
        <w:rPr>
          <w:i/>
          <w:iCs/>
        </w:rPr>
        <w:t>Diana v. State Board</w:t>
      </w:r>
      <w:r>
        <w:t xml:space="preserve"> </w:t>
      </w:r>
      <w:r w:rsidRPr="008D00F7">
        <w:rPr>
          <w:i/>
          <w:iCs/>
        </w:rPr>
        <w:t xml:space="preserve">of Education </w:t>
      </w:r>
      <w:r>
        <w:t xml:space="preserve">(1970), </w:t>
      </w:r>
      <w:r w:rsidR="00F772F5">
        <w:t>resulted in bilingual</w:t>
      </w:r>
      <w:r>
        <w:t xml:space="preserve"> children</w:t>
      </w:r>
      <w:r w:rsidR="00F772F5">
        <w:t xml:space="preserve"> being tested</w:t>
      </w:r>
      <w:r>
        <w:t xml:space="preserve"> in both English and their primary language</w:t>
      </w:r>
      <w:r w:rsidR="00F772F5">
        <w:t xml:space="preserve"> and the </w:t>
      </w:r>
      <w:r>
        <w:t>us</w:t>
      </w:r>
      <w:r w:rsidR="00F772F5">
        <w:t xml:space="preserve">e of </w:t>
      </w:r>
      <w:r>
        <w:t xml:space="preserve">nonverbal items and testing in their native language. </w:t>
      </w:r>
      <w:r w:rsidRPr="008D00F7">
        <w:rPr>
          <w:i/>
          <w:iCs/>
        </w:rPr>
        <w:t xml:space="preserve">Lora v. Board of Education of the City of New York </w:t>
      </w:r>
      <w:r>
        <w:t xml:space="preserve">(1977, 1980, 1984) centered on the disproportionate number of African-American and Hispanic-American students in classes for individuals with emotional disturbance. </w:t>
      </w:r>
      <w:r w:rsidR="00F772F5">
        <w:t>D</w:t>
      </w:r>
      <w:r>
        <w:t xml:space="preserve">ue process rights related to linguistic, cultural, or ethnic background differences were incorporated into the standards and procedures for nondiscriminatory assessment. </w:t>
      </w:r>
    </w:p>
    <w:p w14:paraId="4173239B" w14:textId="54E47125" w:rsidR="006930CE" w:rsidRDefault="006930CE" w:rsidP="006930CE">
      <w:pPr>
        <w:spacing w:line="480" w:lineRule="auto"/>
        <w:ind w:firstLine="720"/>
      </w:pPr>
      <w:r>
        <w:t xml:space="preserve">Over the past 50+ years, the discussion of overrepresentation of CLD students in special education has evolved. The focus has shifted from identifying the causes of the disproportionality, to focusing on developing strategies to reduce the imbalance. This focus has included the implementation of culturally responsive practices (Ladson-Billings, 2012), utilizing data-driven decision making, and developing culturally competent educators (Kea et al, 2019).  </w:t>
      </w:r>
    </w:p>
    <w:p w14:paraId="765C6F32" w14:textId="1BE4B5CE" w:rsidR="00F772F5" w:rsidRPr="00D65BE0" w:rsidRDefault="00F772F5" w:rsidP="005734F6">
      <w:pPr>
        <w:spacing w:line="480" w:lineRule="auto"/>
        <w:rPr>
          <w:b/>
          <w:bCs/>
        </w:rPr>
      </w:pPr>
      <w:r w:rsidRPr="00D65BE0">
        <w:rPr>
          <w:b/>
          <w:bCs/>
        </w:rPr>
        <w:t xml:space="preserve">Minoritization of Students From </w:t>
      </w:r>
      <w:r w:rsidR="005734F6">
        <w:rPr>
          <w:b/>
          <w:bCs/>
        </w:rPr>
        <w:t>Culturally and Linguistically Diverse (CLD)</w:t>
      </w:r>
      <w:r w:rsidRPr="00D65BE0">
        <w:rPr>
          <w:b/>
          <w:bCs/>
        </w:rPr>
        <w:t xml:space="preserve"> Backgrounds</w:t>
      </w:r>
    </w:p>
    <w:p w14:paraId="5322D27D" w14:textId="5780553D" w:rsidR="00F772F5" w:rsidRPr="00BC72EA" w:rsidRDefault="00F772F5" w:rsidP="00F772F5">
      <w:pPr>
        <w:spacing w:line="480" w:lineRule="auto"/>
        <w:ind w:firstLine="720"/>
      </w:pPr>
      <w:r>
        <w:lastRenderedPageBreak/>
        <w:t>S</w:t>
      </w:r>
      <w:r w:rsidRPr="00BC72EA">
        <w:t>tudents are minoritized when they are forced to the margins and mistreated</w:t>
      </w:r>
      <w:r>
        <w:t xml:space="preserve"> (Brown, 20</w:t>
      </w:r>
      <w:r w:rsidR="005840EC">
        <w:t>20</w:t>
      </w:r>
      <w:r>
        <w:t>)</w:t>
      </w:r>
      <w:r w:rsidRPr="00BC72EA">
        <w:t xml:space="preserve">. Students from CLD backgrounds may experience this marginalization through overidentification, improper referral, and </w:t>
      </w:r>
      <w:r>
        <w:t>mis</w:t>
      </w:r>
      <w:r w:rsidRPr="00BC72EA">
        <w:t xml:space="preserve">placement in special education. This can negatively affect their </w:t>
      </w:r>
      <w:r>
        <w:t>educational</w:t>
      </w:r>
      <w:r w:rsidRPr="00BC72EA">
        <w:t xml:space="preserve"> outcomes </w:t>
      </w:r>
      <w:r>
        <w:t>including</w:t>
      </w:r>
      <w:r w:rsidRPr="00BC72EA">
        <w:t xml:space="preserve"> lower graduation rates, high dropout rates (NCES, 2018).</w:t>
      </w:r>
      <w:r w:rsidR="000625EE">
        <w:t xml:space="preserve"> Over the past two decades, the conversation about disproportionality has begun to shift from problem to solution. Courts have determined the existence of bias in placement and have codified equitable access to education. </w:t>
      </w:r>
      <w:r w:rsidR="002C5435">
        <w:t>A re</w:t>
      </w:r>
      <w:r w:rsidR="000625EE">
        <w:t>sponse</w:t>
      </w:r>
      <w:r w:rsidR="002C5435">
        <w:t xml:space="preserve"> </w:t>
      </w:r>
      <w:r w:rsidR="000625EE">
        <w:t xml:space="preserve">to bias and </w:t>
      </w:r>
      <w:r w:rsidR="002C5435">
        <w:t>marginalization</w:t>
      </w:r>
      <w:r w:rsidR="00C7203A">
        <w:t xml:space="preserve"> have been education</w:t>
      </w:r>
      <w:r w:rsidR="000C65AA">
        <w:t>-</w:t>
      </w:r>
      <w:r w:rsidR="00C7203A">
        <w:t>based solutions and interventions.</w:t>
      </w:r>
      <w:r w:rsidR="000625EE">
        <w:t xml:space="preserve"> </w:t>
      </w:r>
    </w:p>
    <w:p w14:paraId="6C78D070" w14:textId="1E68F716" w:rsidR="00B12DDB" w:rsidRPr="00B12DDB" w:rsidRDefault="006D3EE1" w:rsidP="006D3EE1">
      <w:pPr>
        <w:spacing w:line="480" w:lineRule="auto"/>
        <w:jc w:val="center"/>
        <w:rPr>
          <w:b/>
          <w:bCs/>
        </w:rPr>
      </w:pPr>
      <w:r>
        <w:rPr>
          <w:b/>
          <w:bCs/>
        </w:rPr>
        <w:t>Education Based Solutions</w:t>
      </w:r>
    </w:p>
    <w:p w14:paraId="2FA89762" w14:textId="184063ED" w:rsidR="00E85714" w:rsidRDefault="006C0CB2" w:rsidP="00444041">
      <w:pPr>
        <w:spacing w:line="480" w:lineRule="auto"/>
        <w:ind w:firstLine="720"/>
      </w:pPr>
      <w:r>
        <w:t>One r</w:t>
      </w:r>
      <w:r w:rsidR="008169F7">
        <w:t>ecommended e</w:t>
      </w:r>
      <w:r w:rsidR="003B4AD6">
        <w:t xml:space="preserve">ducation-based solution </w:t>
      </w:r>
      <w:r>
        <w:t>is</w:t>
      </w:r>
      <w:r w:rsidR="003B4AD6">
        <w:t xml:space="preserve"> the use of </w:t>
      </w:r>
      <w:r w:rsidR="00C05E02">
        <w:t xml:space="preserve">a </w:t>
      </w:r>
      <w:r w:rsidR="00C7203A">
        <w:t xml:space="preserve">cultural </w:t>
      </w:r>
      <w:r w:rsidR="008A17EF">
        <w:t>response to intervention (CRtI; e.g., Ladson-Billings, 202</w:t>
      </w:r>
      <w:r w:rsidR="007061A3">
        <w:t>1</w:t>
      </w:r>
      <w:r w:rsidR="008A17EF">
        <w:t>)</w:t>
      </w:r>
      <w:r w:rsidR="005734F6">
        <w:t>.</w:t>
      </w:r>
      <w:r w:rsidR="008A17EF">
        <w:t xml:space="preserve"> </w:t>
      </w:r>
      <w:r>
        <w:t xml:space="preserve">Cultural responsiveness </w:t>
      </w:r>
      <w:r w:rsidR="00B12DDB">
        <w:t>employs</w:t>
      </w:r>
      <w:r w:rsidR="003B4AD6">
        <w:t xml:space="preserve"> instructional strategies and materials that </w:t>
      </w:r>
      <w:r w:rsidR="00B05830">
        <w:t>honor the diverse</w:t>
      </w:r>
      <w:r w:rsidR="003B4AD6">
        <w:t xml:space="preserve"> cultural</w:t>
      </w:r>
      <w:r w:rsidR="00B12DDB">
        <w:t xml:space="preserve"> and</w:t>
      </w:r>
      <w:r w:rsidR="003B4AD6">
        <w:t xml:space="preserve"> linguistic backgrounds of </w:t>
      </w:r>
      <w:r>
        <w:t>students</w:t>
      </w:r>
      <w:r w:rsidR="00444041">
        <w:t xml:space="preserve"> </w:t>
      </w:r>
      <w:r w:rsidR="003B4AD6">
        <w:t>(</w:t>
      </w:r>
      <w:r w:rsidR="00B05830">
        <w:t xml:space="preserve">e.g., Ladson-Billings, </w:t>
      </w:r>
      <w:r w:rsidR="007061A3">
        <w:t>2021</w:t>
      </w:r>
      <w:r w:rsidR="003B4AD6">
        <w:t>)</w:t>
      </w:r>
      <w:r w:rsidR="005734F6">
        <w:t>. Brown et al. (201</w:t>
      </w:r>
      <w:r w:rsidR="007061A3">
        <w:t>9</w:t>
      </w:r>
      <w:r w:rsidR="005734F6">
        <w:t>) implemented c</w:t>
      </w:r>
      <w:r w:rsidR="00C05E02">
        <w:t xml:space="preserve">ulturally adapted </w:t>
      </w:r>
      <w:r w:rsidR="005734F6">
        <w:t xml:space="preserve">social, emotional, and behavioral </w:t>
      </w:r>
      <w:r w:rsidR="00C05E02">
        <w:t xml:space="preserve">interventions </w:t>
      </w:r>
      <w:r w:rsidR="005734F6">
        <w:t>by restructuring</w:t>
      </w:r>
      <w:r w:rsidR="00C05E02">
        <w:t xml:space="preserve"> the procedure, content, and program delivery of </w:t>
      </w:r>
      <w:r w:rsidR="00A27FCA">
        <w:t xml:space="preserve">behavioral </w:t>
      </w:r>
      <w:r w:rsidR="00C05E02">
        <w:t>interventions</w:t>
      </w:r>
      <w:r w:rsidR="00A27FCA">
        <w:t>. This adaptation e</w:t>
      </w:r>
      <w:r w:rsidR="00C05E02">
        <w:t>mploy</w:t>
      </w:r>
      <w:r w:rsidR="00A27FCA">
        <w:t>ed</w:t>
      </w:r>
      <w:r w:rsidR="00C05E02">
        <w:t xml:space="preserve"> a cultural </w:t>
      </w:r>
      <w:r w:rsidR="005734F6">
        <w:t xml:space="preserve">sensitivity </w:t>
      </w:r>
      <w:r w:rsidR="00A27FCA">
        <w:t>within the educators employing the adaptation, and a cultural relevance in the intervention which has heretofore been lacking in the RtI process</w:t>
      </w:r>
      <w:r w:rsidR="003B4AD6">
        <w:t xml:space="preserve">. </w:t>
      </w:r>
    </w:p>
    <w:p w14:paraId="4AC048A3" w14:textId="7F1241B6" w:rsidR="00B12DDB" w:rsidRPr="00B12DDB" w:rsidRDefault="00B05830" w:rsidP="002C5435">
      <w:pPr>
        <w:spacing w:line="480" w:lineRule="auto"/>
        <w:rPr>
          <w:b/>
          <w:bCs/>
        </w:rPr>
      </w:pPr>
      <w:r>
        <w:rPr>
          <w:b/>
          <w:bCs/>
        </w:rPr>
        <w:t>Culturally Adapted Social, Emotional and Behavioral Interventions</w:t>
      </w:r>
    </w:p>
    <w:p w14:paraId="2E64959A" w14:textId="14A38D02" w:rsidR="00B05830" w:rsidRDefault="00B05830" w:rsidP="00B05830">
      <w:pPr>
        <w:spacing w:line="480" w:lineRule="auto"/>
        <w:ind w:firstLine="720"/>
      </w:pPr>
      <w:r w:rsidRPr="00B05830">
        <w:t xml:space="preserve">School personnel are more likely to apply punitive and exclusionary discipline practices to students of particular racial and ethnic backgrounds. As a consequence of these trends, many researchers suggest that experimentally validated social, emotional, and behavioral interventions must be modified to accommodate the cultural characteristics of students. However, scholarly recommendations regarding culturally adapted interventions lack practical methods for </w:t>
      </w:r>
      <w:r w:rsidRPr="00B05830">
        <w:lastRenderedPageBreak/>
        <w:t>implementing them. A majority of researchers used recommended procedures to consider cultural adaptations when analyzing school-based social, emotional, and behavioral interventions (Brown et al., 201</w:t>
      </w:r>
      <w:r w:rsidR="007061A3">
        <w:t>9</w:t>
      </w:r>
      <w:r w:rsidRPr="00B05830">
        <w:t>), such as engaging with stakeholders and reviewing program materials, in studies investigating cultural adaptations to school-based social, emotional, and behavioral interventions. More conceptual adaptations including focusing on metaphors and language, concepts, and goals of the intervention were reported less frequently. Results indicated that there is a need for additional research on developing and implementing cultural adaptations for school-based interventions.</w:t>
      </w:r>
    </w:p>
    <w:p w14:paraId="5F553F81" w14:textId="580DA7C6" w:rsidR="00A27FCA" w:rsidRPr="00B05830" w:rsidRDefault="00497F12" w:rsidP="00A27FCA">
      <w:pPr>
        <w:spacing w:line="480" w:lineRule="auto"/>
        <w:rPr>
          <w:b/>
          <w:bCs/>
        </w:rPr>
      </w:pPr>
      <w:r>
        <w:rPr>
          <w:b/>
          <w:bCs/>
        </w:rPr>
        <w:t xml:space="preserve">Impactful Scholarship and </w:t>
      </w:r>
      <w:r w:rsidR="00A27FCA" w:rsidRPr="00A27FCA">
        <w:rPr>
          <w:b/>
          <w:bCs/>
        </w:rPr>
        <w:t>Future Interests</w:t>
      </w:r>
    </w:p>
    <w:p w14:paraId="25ADDFEE" w14:textId="4E57EB9A" w:rsidR="009055D2" w:rsidRDefault="009055D2" w:rsidP="00B05830">
      <w:pPr>
        <w:spacing w:line="480" w:lineRule="auto"/>
        <w:ind w:firstLine="720"/>
      </w:pPr>
      <w:r>
        <w:rPr>
          <w:color w:val="000000"/>
          <w:sz w:val="22"/>
          <w:szCs w:val="22"/>
        </w:rPr>
        <w:t>Disproportionality has been a source of increasing concern, but empirical studies of interventions that reduce these gaps have been limited. A wide range of terms are used to refer to culturally responsiveness, as identified by Debnam et al. (2014). These terms include culturally relevant pedagogy (Ladson-Billings, 1995), culturally responsive teaching (Gay, 20</w:t>
      </w:r>
      <w:r w:rsidR="007061A3">
        <w:rPr>
          <w:color w:val="000000"/>
          <w:sz w:val="22"/>
          <w:szCs w:val="22"/>
        </w:rPr>
        <w:t>15</w:t>
      </w:r>
      <w:r>
        <w:rPr>
          <w:color w:val="000000"/>
          <w:sz w:val="22"/>
          <w:szCs w:val="22"/>
        </w:rPr>
        <w:t>), culturally responsive classroom management and behavior supports (Sugai et al., 2012), cultural proficiency (Lindsey et al., 20</w:t>
      </w:r>
      <w:r w:rsidR="007061A3">
        <w:rPr>
          <w:color w:val="000000"/>
          <w:sz w:val="22"/>
          <w:szCs w:val="22"/>
        </w:rPr>
        <w:t>16</w:t>
      </w:r>
      <w:r>
        <w:rPr>
          <w:color w:val="000000"/>
          <w:sz w:val="22"/>
          <w:szCs w:val="22"/>
        </w:rPr>
        <w:t xml:space="preserve">), and culturally sustaining pedagogy (Paris, 2012). The wide variation in operational definitions of CRP suggests more work is needed to achieve clarity and promote consensus on the outcomes of CRP interventions. </w:t>
      </w:r>
    </w:p>
    <w:p w14:paraId="63CBF42F" w14:textId="5FE44F89" w:rsidR="00B05830" w:rsidRPr="00B05830" w:rsidRDefault="00A27FCA" w:rsidP="00B05830">
      <w:pPr>
        <w:spacing w:line="480" w:lineRule="auto"/>
        <w:ind w:firstLine="720"/>
      </w:pPr>
      <w:r>
        <w:t xml:space="preserve">I have been greatly impacted </w:t>
      </w:r>
      <w:r w:rsidR="00543C3E">
        <w:t>by Kea (2003</w:t>
      </w:r>
      <w:r w:rsidR="007061A3">
        <w:t>, 2016</w:t>
      </w:r>
      <w:r w:rsidR="00543C3E">
        <w:t>), Ladson-Billings (20</w:t>
      </w:r>
      <w:r w:rsidR="007061A3">
        <w:t>21</w:t>
      </w:r>
      <w:r w:rsidR="00543C3E">
        <w:t>) and Gay (2015)</w:t>
      </w:r>
      <w:r>
        <w:t xml:space="preserve"> in </w:t>
      </w:r>
      <w:r w:rsidR="00543C3E">
        <w:t xml:space="preserve">their scholarship of </w:t>
      </w:r>
      <w:r>
        <w:t>culturally responsive educators</w:t>
      </w:r>
      <w:r w:rsidR="00543C3E">
        <w:t>/assessment</w:t>
      </w:r>
      <w:r w:rsidR="0089584F">
        <w:t xml:space="preserve"> and recent literature by Brown (2019) on the implementation of </w:t>
      </w:r>
      <w:r>
        <w:t xml:space="preserve">culturally adapted social, emotional, and behavioral interventions. </w:t>
      </w:r>
      <w:r w:rsidR="0089584F">
        <w:t xml:space="preserve">Their impact has impressed upon me to </w:t>
      </w:r>
      <w:r w:rsidR="009055D2">
        <w:t>integrate culturally adapted interventions in</w:t>
      </w:r>
      <w:r w:rsidR="0089584F">
        <w:t xml:space="preserve"> my dissertation</w:t>
      </w:r>
      <w:r w:rsidR="009055D2">
        <w:t xml:space="preserve">. I have always been interested in the lack of cultural relevance of Tier 3 interventions, which I believe are the </w:t>
      </w:r>
      <w:r w:rsidR="007061A3">
        <w:t xml:space="preserve">final </w:t>
      </w:r>
      <w:r w:rsidR="009055D2">
        <w:t>gateway to special education</w:t>
      </w:r>
      <w:r w:rsidR="0089584F">
        <w:t xml:space="preserve"> </w:t>
      </w:r>
      <w:r w:rsidR="009055D2">
        <w:t xml:space="preserve">identification. I want to continue to explore research questions to discover if culturally adapted behavioral interventions </w:t>
      </w:r>
      <w:r w:rsidR="009055D2">
        <w:lastRenderedPageBreak/>
        <w:t xml:space="preserve">have a </w:t>
      </w:r>
      <w:r w:rsidR="00497F12">
        <w:t>functional relation with improved behavioral outcomes of African American males at risk for EBD and other conduct-based diagnoses.</w:t>
      </w:r>
    </w:p>
    <w:p w14:paraId="5BD2CF88" w14:textId="4D3F0735" w:rsidR="00287845" w:rsidRPr="00382083" w:rsidRDefault="00DA6852" w:rsidP="00382083">
      <w:pPr>
        <w:spacing w:line="480" w:lineRule="auto"/>
      </w:pPr>
      <w:r>
        <w:tab/>
      </w:r>
    </w:p>
    <w:p w14:paraId="42E6B5EA" w14:textId="3DCA5B82" w:rsidR="00864986" w:rsidRPr="000F6978" w:rsidRDefault="000F6978">
      <w:r w:rsidRPr="000F6978">
        <w:t>[</w:t>
      </w:r>
      <w:r w:rsidR="007061A3">
        <w:t xml:space="preserve">Word Count: </w:t>
      </w:r>
      <w:r w:rsidR="00497F12">
        <w:t>140</w:t>
      </w:r>
      <w:r w:rsidR="007061A3">
        <w:t>6</w:t>
      </w:r>
      <w:r w:rsidRPr="000F6978">
        <w:t>]</w:t>
      </w:r>
      <w:r w:rsidR="00864986" w:rsidRPr="000F6978">
        <w:br w:type="page"/>
      </w:r>
    </w:p>
    <w:p w14:paraId="6893C772" w14:textId="05C3C845" w:rsidR="00382083" w:rsidRPr="005B56DE" w:rsidRDefault="00382083" w:rsidP="00382083">
      <w:pPr>
        <w:spacing w:line="480" w:lineRule="auto"/>
        <w:jc w:val="center"/>
        <w:rPr>
          <w:b/>
          <w:bCs/>
          <w:color w:val="000000" w:themeColor="text1"/>
        </w:rPr>
      </w:pPr>
      <w:r w:rsidRPr="005B56DE">
        <w:rPr>
          <w:b/>
          <w:bCs/>
          <w:color w:val="000000" w:themeColor="text1"/>
        </w:rPr>
        <w:lastRenderedPageBreak/>
        <w:t>References</w:t>
      </w:r>
    </w:p>
    <w:p w14:paraId="08574BB7" w14:textId="77777777" w:rsidR="00382083" w:rsidRPr="005B56DE" w:rsidRDefault="00382083" w:rsidP="00382083">
      <w:pPr>
        <w:tabs>
          <w:tab w:val="left" w:pos="720"/>
        </w:tabs>
        <w:rPr>
          <w:color w:val="000000" w:themeColor="text1"/>
        </w:rPr>
      </w:pPr>
      <w:r w:rsidRPr="005B56DE">
        <w:rPr>
          <w:color w:val="000000" w:themeColor="text1"/>
        </w:rPr>
        <w:t xml:space="preserve">Artiles, A. J. (2015). Beyond responsiveness to identity badges: Future research on culture in </w:t>
      </w:r>
    </w:p>
    <w:p w14:paraId="7F95A69F" w14:textId="6FE6A067" w:rsidR="005D0BCC" w:rsidRPr="005B56DE" w:rsidRDefault="00382083" w:rsidP="005D0BCC">
      <w:pPr>
        <w:tabs>
          <w:tab w:val="left" w:pos="720"/>
        </w:tabs>
        <w:ind w:left="720"/>
        <w:rPr>
          <w:color w:val="000000" w:themeColor="text1"/>
        </w:rPr>
      </w:pPr>
      <w:r w:rsidRPr="005B56DE">
        <w:rPr>
          <w:color w:val="000000" w:themeColor="text1"/>
        </w:rPr>
        <w:t>disability and implications for response to intervention. </w:t>
      </w:r>
      <w:r w:rsidRPr="005B56DE">
        <w:rPr>
          <w:i/>
          <w:iCs/>
          <w:color w:val="000000" w:themeColor="text1"/>
        </w:rPr>
        <w:t>Educational Review</w:t>
      </w:r>
      <w:r w:rsidRPr="005B56DE">
        <w:rPr>
          <w:color w:val="000000" w:themeColor="text1"/>
        </w:rPr>
        <w:t>, </w:t>
      </w:r>
      <w:r w:rsidRPr="005B56DE">
        <w:rPr>
          <w:i/>
          <w:iCs/>
          <w:color w:val="000000" w:themeColor="text1"/>
        </w:rPr>
        <w:t>67</w:t>
      </w:r>
      <w:r w:rsidRPr="005B56DE">
        <w:rPr>
          <w:color w:val="000000" w:themeColor="text1"/>
        </w:rPr>
        <w:t>(1), 1-22.</w:t>
      </w:r>
      <w:r w:rsidR="005D0BCC" w:rsidRPr="005B56DE">
        <w:rPr>
          <w:color w:val="000000" w:themeColor="text1"/>
        </w:rPr>
        <w:t xml:space="preserve"> https://doi.org/10.1080/00131911.2014.934322</w:t>
      </w:r>
    </w:p>
    <w:p w14:paraId="61E8A76F" w14:textId="77777777" w:rsidR="00382083" w:rsidRPr="005B56DE" w:rsidRDefault="00382083" w:rsidP="00382083">
      <w:pPr>
        <w:tabs>
          <w:tab w:val="left" w:pos="720"/>
        </w:tabs>
        <w:rPr>
          <w:color w:val="000000" w:themeColor="text1"/>
        </w:rPr>
      </w:pPr>
    </w:p>
    <w:p w14:paraId="7DDC83DC" w14:textId="77777777" w:rsidR="003344E1" w:rsidRPr="005B56DE" w:rsidRDefault="003344E1" w:rsidP="00382083">
      <w:pPr>
        <w:tabs>
          <w:tab w:val="left" w:pos="720"/>
        </w:tabs>
        <w:rPr>
          <w:color w:val="000000" w:themeColor="text1"/>
        </w:rPr>
      </w:pPr>
      <w:r w:rsidRPr="005B56DE">
        <w:rPr>
          <w:color w:val="000000" w:themeColor="text1"/>
        </w:rPr>
        <w:t xml:space="preserve">Artiles, A. J., Kozleski, E. B., Trent, S. C., Osher, D., &amp; Ortiz, A. (2010). Justifying and </w:t>
      </w:r>
    </w:p>
    <w:p w14:paraId="7E624A03" w14:textId="77777777" w:rsidR="003344E1" w:rsidRPr="005B56DE" w:rsidRDefault="003344E1" w:rsidP="00382083">
      <w:pPr>
        <w:tabs>
          <w:tab w:val="left" w:pos="720"/>
        </w:tabs>
        <w:rPr>
          <w:color w:val="000000" w:themeColor="text1"/>
        </w:rPr>
      </w:pPr>
      <w:r w:rsidRPr="005B56DE">
        <w:rPr>
          <w:color w:val="000000" w:themeColor="text1"/>
        </w:rPr>
        <w:tab/>
        <w:t xml:space="preserve">explaining disproportionality, 1968–2008: A critique of underlying views of </w:t>
      </w:r>
    </w:p>
    <w:p w14:paraId="5AE9DE0A" w14:textId="4112C876" w:rsidR="005B56DE" w:rsidRPr="005B56DE" w:rsidRDefault="003344E1" w:rsidP="00382083">
      <w:pPr>
        <w:tabs>
          <w:tab w:val="left" w:pos="720"/>
        </w:tabs>
        <w:rPr>
          <w:color w:val="000000" w:themeColor="text1"/>
        </w:rPr>
      </w:pPr>
      <w:r w:rsidRPr="005B56DE">
        <w:rPr>
          <w:color w:val="000000" w:themeColor="text1"/>
        </w:rPr>
        <w:tab/>
        <w:t>culture. </w:t>
      </w:r>
      <w:r w:rsidRPr="005B56DE">
        <w:rPr>
          <w:i/>
          <w:iCs/>
          <w:color w:val="000000" w:themeColor="text1"/>
        </w:rPr>
        <w:t>Exceptional Children</w:t>
      </w:r>
      <w:r w:rsidRPr="005B56DE">
        <w:rPr>
          <w:color w:val="000000" w:themeColor="text1"/>
        </w:rPr>
        <w:t>, </w:t>
      </w:r>
      <w:r w:rsidRPr="005B56DE">
        <w:rPr>
          <w:i/>
          <w:iCs/>
          <w:color w:val="000000" w:themeColor="text1"/>
        </w:rPr>
        <w:t>76</w:t>
      </w:r>
      <w:r w:rsidRPr="005B56DE">
        <w:rPr>
          <w:color w:val="000000" w:themeColor="text1"/>
        </w:rPr>
        <w:t>(3), 279</w:t>
      </w:r>
      <w:r w:rsidR="005B56DE" w:rsidRPr="005B56DE">
        <w:rPr>
          <w:color w:val="000000" w:themeColor="text1"/>
        </w:rPr>
        <w:t xml:space="preserve">-299. </w:t>
      </w:r>
    </w:p>
    <w:p w14:paraId="52D291A2" w14:textId="3D4E1A28" w:rsidR="003344E1" w:rsidRPr="005B56DE" w:rsidRDefault="005B56DE" w:rsidP="00382083">
      <w:pPr>
        <w:tabs>
          <w:tab w:val="left" w:pos="720"/>
        </w:tabs>
        <w:rPr>
          <w:color w:val="000000" w:themeColor="text1"/>
        </w:rPr>
      </w:pPr>
      <w:r w:rsidRPr="005B56DE">
        <w:rPr>
          <w:color w:val="000000" w:themeColor="text1"/>
        </w:rPr>
        <w:tab/>
        <w:t>https://doi.org/10.1177/001440291007600303 </w:t>
      </w:r>
    </w:p>
    <w:p w14:paraId="40836AEE" w14:textId="0CA9F080" w:rsidR="005840EC" w:rsidRPr="005B56DE" w:rsidRDefault="005840EC" w:rsidP="00C05E02">
      <w:pPr>
        <w:tabs>
          <w:tab w:val="left" w:pos="720"/>
        </w:tabs>
        <w:rPr>
          <w:color w:val="000000" w:themeColor="text1"/>
          <w:shd w:val="clear" w:color="auto" w:fill="FFFFFF"/>
        </w:rPr>
      </w:pPr>
    </w:p>
    <w:p w14:paraId="08D5B060" w14:textId="77777777" w:rsidR="005840EC" w:rsidRPr="005B56DE" w:rsidRDefault="005840EC" w:rsidP="00C05E02">
      <w:pPr>
        <w:tabs>
          <w:tab w:val="left" w:pos="720"/>
        </w:tabs>
        <w:rPr>
          <w:i/>
          <w:iCs/>
          <w:color w:val="000000" w:themeColor="text1"/>
          <w:shd w:val="clear" w:color="auto" w:fill="FFFFFF"/>
        </w:rPr>
      </w:pPr>
      <w:r w:rsidRPr="005B56DE">
        <w:rPr>
          <w:color w:val="000000" w:themeColor="text1"/>
          <w:shd w:val="clear" w:color="auto" w:fill="FFFFFF"/>
        </w:rPr>
        <w:t>Brown, C. (2020). </w:t>
      </w:r>
      <w:r w:rsidRPr="005B56DE">
        <w:rPr>
          <w:i/>
          <w:iCs/>
          <w:color w:val="000000" w:themeColor="text1"/>
          <w:shd w:val="clear" w:color="auto" w:fill="FFFFFF"/>
        </w:rPr>
        <w:t xml:space="preserve">The Process of Implementing Culturally Adapted Behavioral Strategies in the </w:t>
      </w:r>
    </w:p>
    <w:p w14:paraId="6986BA5A" w14:textId="77777777" w:rsidR="005840EC" w:rsidRPr="005B56DE" w:rsidRDefault="005840EC" w:rsidP="00C05E02">
      <w:pPr>
        <w:tabs>
          <w:tab w:val="left" w:pos="720"/>
        </w:tabs>
        <w:rPr>
          <w:color w:val="000000" w:themeColor="text1"/>
          <w:shd w:val="clear" w:color="auto" w:fill="FFFFFF"/>
        </w:rPr>
      </w:pPr>
      <w:r w:rsidRPr="005B56DE">
        <w:rPr>
          <w:i/>
          <w:iCs/>
          <w:color w:val="000000" w:themeColor="text1"/>
          <w:shd w:val="clear" w:color="auto" w:fill="FFFFFF"/>
        </w:rPr>
        <w:tab/>
        <w:t>Classroom for Educators </w:t>
      </w:r>
      <w:r w:rsidRPr="005B56DE">
        <w:rPr>
          <w:color w:val="000000" w:themeColor="text1"/>
          <w:shd w:val="clear" w:color="auto" w:fill="FFFFFF"/>
        </w:rPr>
        <w:t xml:space="preserve">(Order No. 28334025). Available from ProQuest Dissertations </w:t>
      </w:r>
    </w:p>
    <w:p w14:paraId="00B84C5C" w14:textId="1356AA82" w:rsidR="005840EC" w:rsidRPr="005B56DE" w:rsidRDefault="005840EC" w:rsidP="00C05E02">
      <w:pPr>
        <w:tabs>
          <w:tab w:val="left" w:pos="720"/>
        </w:tabs>
        <w:rPr>
          <w:color w:val="000000" w:themeColor="text1"/>
          <w:shd w:val="clear" w:color="auto" w:fill="FFFFFF"/>
        </w:rPr>
      </w:pPr>
      <w:r w:rsidRPr="005B56DE">
        <w:rPr>
          <w:color w:val="000000" w:themeColor="text1"/>
          <w:shd w:val="clear" w:color="auto" w:fill="FFFFFF"/>
        </w:rPr>
        <w:tab/>
        <w:t>&amp; Theses Global. (2516328795). https://www.proquest.com/dissertations-theses/process-</w:t>
      </w:r>
    </w:p>
    <w:p w14:paraId="6E7C0F47" w14:textId="56AADC7B" w:rsidR="005840EC" w:rsidRPr="005B56DE" w:rsidRDefault="005840EC" w:rsidP="00C05E02">
      <w:pPr>
        <w:tabs>
          <w:tab w:val="left" w:pos="720"/>
        </w:tabs>
        <w:rPr>
          <w:color w:val="000000" w:themeColor="text1"/>
          <w:shd w:val="clear" w:color="auto" w:fill="FFFFFF"/>
        </w:rPr>
      </w:pPr>
      <w:r w:rsidRPr="005B56DE">
        <w:rPr>
          <w:color w:val="000000" w:themeColor="text1"/>
          <w:shd w:val="clear" w:color="auto" w:fill="FFFFFF"/>
        </w:rPr>
        <w:tab/>
        <w:t>implementing-culturally-adapted/docview/2516328795/se-2</w:t>
      </w:r>
    </w:p>
    <w:p w14:paraId="74180CE5" w14:textId="77777777" w:rsidR="00382083" w:rsidRPr="005B56DE" w:rsidRDefault="00382083" w:rsidP="00382083">
      <w:pPr>
        <w:tabs>
          <w:tab w:val="left" w:pos="720"/>
        </w:tabs>
        <w:rPr>
          <w:color w:val="000000" w:themeColor="text1"/>
          <w:shd w:val="clear" w:color="auto" w:fill="FFFFFF"/>
        </w:rPr>
      </w:pPr>
    </w:p>
    <w:p w14:paraId="59B39DE2" w14:textId="77777777" w:rsidR="00382083" w:rsidRPr="005B56DE" w:rsidRDefault="00382083" w:rsidP="00382083">
      <w:pPr>
        <w:tabs>
          <w:tab w:val="left" w:pos="720"/>
        </w:tabs>
        <w:rPr>
          <w:color w:val="000000" w:themeColor="text1"/>
          <w:shd w:val="clear" w:color="auto" w:fill="FFFFFF"/>
        </w:rPr>
      </w:pPr>
      <w:r w:rsidRPr="005B56DE">
        <w:rPr>
          <w:color w:val="000000" w:themeColor="text1"/>
          <w:shd w:val="clear" w:color="auto" w:fill="FFFFFF"/>
        </w:rPr>
        <w:t xml:space="preserve">Cartledge, G., Kea, C. D., Watson, M., &amp; Oif, A. (2016). Special education disproportionality: A </w:t>
      </w:r>
    </w:p>
    <w:p w14:paraId="5ABCC822" w14:textId="77777777" w:rsidR="00382083" w:rsidRPr="005B56DE" w:rsidRDefault="00382083" w:rsidP="00382083">
      <w:pPr>
        <w:tabs>
          <w:tab w:val="left" w:pos="720"/>
        </w:tabs>
        <w:rPr>
          <w:i/>
          <w:iCs/>
          <w:color w:val="000000" w:themeColor="text1"/>
          <w:shd w:val="clear" w:color="auto" w:fill="FFFFFF"/>
        </w:rPr>
      </w:pPr>
      <w:r w:rsidRPr="005B56DE">
        <w:rPr>
          <w:color w:val="000000" w:themeColor="text1"/>
          <w:shd w:val="clear" w:color="auto" w:fill="FFFFFF"/>
        </w:rPr>
        <w:tab/>
        <w:t>review of response to intervention and culturally relevant pedagogy. </w:t>
      </w:r>
      <w:r w:rsidRPr="005B56DE">
        <w:rPr>
          <w:i/>
          <w:iCs/>
          <w:color w:val="000000" w:themeColor="text1"/>
          <w:shd w:val="clear" w:color="auto" w:fill="FFFFFF"/>
        </w:rPr>
        <w:t xml:space="preserve">Multiple Voices for </w:t>
      </w:r>
    </w:p>
    <w:p w14:paraId="1756A2CF" w14:textId="42CAD4E1" w:rsidR="00382083" w:rsidRPr="005B56DE" w:rsidRDefault="00382083" w:rsidP="004478D1">
      <w:pPr>
        <w:tabs>
          <w:tab w:val="left" w:pos="720"/>
        </w:tabs>
        <w:ind w:left="720"/>
        <w:rPr>
          <w:color w:val="000000" w:themeColor="text1"/>
          <w:shd w:val="clear" w:color="auto" w:fill="FFFFFF"/>
        </w:rPr>
      </w:pPr>
      <w:r w:rsidRPr="005B56DE">
        <w:rPr>
          <w:i/>
          <w:iCs/>
          <w:color w:val="000000" w:themeColor="text1"/>
          <w:shd w:val="clear" w:color="auto" w:fill="FFFFFF"/>
        </w:rPr>
        <w:t>Ethnically Diverse Exceptional Learners</w:t>
      </w:r>
      <w:r w:rsidRPr="005B56DE">
        <w:rPr>
          <w:color w:val="000000" w:themeColor="text1"/>
          <w:shd w:val="clear" w:color="auto" w:fill="FFFFFF"/>
        </w:rPr>
        <w:t>, </w:t>
      </w:r>
      <w:r w:rsidRPr="005B56DE">
        <w:rPr>
          <w:i/>
          <w:iCs/>
          <w:color w:val="000000" w:themeColor="text1"/>
          <w:shd w:val="clear" w:color="auto" w:fill="FFFFFF"/>
        </w:rPr>
        <w:t>16</w:t>
      </w:r>
      <w:r w:rsidRPr="005B56DE">
        <w:rPr>
          <w:color w:val="000000" w:themeColor="text1"/>
          <w:shd w:val="clear" w:color="auto" w:fill="FFFFFF"/>
        </w:rPr>
        <w:t>(1), 29-49.</w:t>
      </w:r>
      <w:r w:rsidR="004478D1" w:rsidRPr="005B56DE">
        <w:rPr>
          <w:color w:val="000000" w:themeColor="text1"/>
          <w:shd w:val="clear" w:color="auto" w:fill="FFFFFF"/>
        </w:rPr>
        <w:t xml:space="preserve"> https://doi.org/</w:t>
      </w:r>
      <w:r w:rsidR="004478D1" w:rsidRPr="005B56DE">
        <w:rPr>
          <w:rFonts w:ascii="Source Sans Pro" w:hAnsi="Source Sans Pro"/>
          <w:color w:val="000000" w:themeColor="text1"/>
          <w:sz w:val="23"/>
          <w:szCs w:val="23"/>
          <w:shd w:val="clear" w:color="auto" w:fill="F3F3F3"/>
        </w:rPr>
        <w:t xml:space="preserve"> </w:t>
      </w:r>
      <w:r w:rsidR="004478D1" w:rsidRPr="005B56DE">
        <w:rPr>
          <w:color w:val="000000" w:themeColor="text1"/>
          <w:shd w:val="clear" w:color="auto" w:fill="FFFFFF"/>
        </w:rPr>
        <w:t>10.5555/2158-396X.16.1.29</w:t>
      </w:r>
    </w:p>
    <w:p w14:paraId="191DE5AB" w14:textId="2B007EFB" w:rsidR="003344E1" w:rsidRPr="005B56DE" w:rsidRDefault="003344E1" w:rsidP="00382083">
      <w:pPr>
        <w:tabs>
          <w:tab w:val="left" w:pos="720"/>
        </w:tabs>
        <w:rPr>
          <w:color w:val="000000" w:themeColor="text1"/>
          <w:shd w:val="clear" w:color="auto" w:fill="FFFFFF"/>
        </w:rPr>
      </w:pPr>
    </w:p>
    <w:p w14:paraId="32E14B70" w14:textId="77777777" w:rsidR="003344E1" w:rsidRPr="005B56DE" w:rsidRDefault="003344E1" w:rsidP="00382083">
      <w:pPr>
        <w:tabs>
          <w:tab w:val="left" w:pos="720"/>
        </w:tabs>
        <w:rPr>
          <w:color w:val="000000" w:themeColor="text1"/>
          <w:shd w:val="clear" w:color="auto" w:fill="FFFFFF"/>
        </w:rPr>
      </w:pPr>
      <w:r w:rsidRPr="005B56DE">
        <w:rPr>
          <w:color w:val="000000" w:themeColor="text1"/>
          <w:shd w:val="clear" w:color="auto" w:fill="FFFFFF"/>
        </w:rPr>
        <w:t xml:space="preserve">Dunn, L. M. (1968). Special education for the mildly retarded—Is much of it justifiable?. </w:t>
      </w:r>
    </w:p>
    <w:p w14:paraId="4D141CF4" w14:textId="4FB8ACBE" w:rsidR="003344E1" w:rsidRPr="005B56DE" w:rsidRDefault="003344E1" w:rsidP="00382083">
      <w:pPr>
        <w:tabs>
          <w:tab w:val="left" w:pos="720"/>
        </w:tabs>
        <w:rPr>
          <w:color w:val="000000" w:themeColor="text1"/>
          <w:shd w:val="clear" w:color="auto" w:fill="FFFFFF"/>
        </w:rPr>
      </w:pPr>
      <w:r w:rsidRPr="005B56DE">
        <w:rPr>
          <w:color w:val="000000" w:themeColor="text1"/>
          <w:shd w:val="clear" w:color="auto" w:fill="FFFFFF"/>
        </w:rPr>
        <w:tab/>
      </w:r>
      <w:r w:rsidRPr="005B56DE">
        <w:rPr>
          <w:i/>
          <w:iCs/>
          <w:color w:val="000000" w:themeColor="text1"/>
          <w:shd w:val="clear" w:color="auto" w:fill="FFFFFF"/>
        </w:rPr>
        <w:t>Exceptional Children, 35</w:t>
      </w:r>
      <w:r w:rsidRPr="005B56DE">
        <w:rPr>
          <w:color w:val="000000" w:themeColor="text1"/>
          <w:shd w:val="clear" w:color="auto" w:fill="FFFFFF"/>
        </w:rPr>
        <w:t>(1), 5-22.</w:t>
      </w:r>
      <w:r w:rsidR="005B56DE" w:rsidRPr="005B56DE">
        <w:rPr>
          <w:color w:val="000000" w:themeColor="text1"/>
          <w:shd w:val="clear" w:color="auto" w:fill="FFFFFF"/>
        </w:rPr>
        <w:t xml:space="preserve"> </w:t>
      </w:r>
      <w:hyperlink r:id="rId8" w:history="1">
        <w:r w:rsidR="005B56DE" w:rsidRPr="005B56DE">
          <w:rPr>
            <w:rStyle w:val="Hyperlink"/>
            <w:color w:val="000000" w:themeColor="text1"/>
            <w:shd w:val="clear" w:color="auto" w:fill="FFFFFF"/>
          </w:rPr>
          <w:t> https://doi.org/10.1177/001440296803500101 </w:t>
        </w:r>
      </w:hyperlink>
    </w:p>
    <w:p w14:paraId="2DDB2DC1" w14:textId="4C771BBB" w:rsidR="00B33C38" w:rsidRPr="005B56DE" w:rsidRDefault="00B33C38" w:rsidP="00382083">
      <w:pPr>
        <w:tabs>
          <w:tab w:val="left" w:pos="720"/>
        </w:tabs>
        <w:rPr>
          <w:color w:val="000000" w:themeColor="text1"/>
          <w:shd w:val="clear" w:color="auto" w:fill="FFFFFF"/>
        </w:rPr>
      </w:pPr>
    </w:p>
    <w:p w14:paraId="4D953F65" w14:textId="06D3395F" w:rsidR="00B33C38" w:rsidRPr="005B56DE" w:rsidRDefault="00B33C38" w:rsidP="00382083">
      <w:pPr>
        <w:tabs>
          <w:tab w:val="left" w:pos="720"/>
        </w:tabs>
        <w:rPr>
          <w:color w:val="000000" w:themeColor="text1"/>
        </w:rPr>
      </w:pPr>
      <w:r w:rsidRPr="005B56DE">
        <w:rPr>
          <w:color w:val="000000" w:themeColor="text1"/>
        </w:rPr>
        <w:t>Kea</w:t>
      </w:r>
      <w:r w:rsidR="000D0293" w:rsidRPr="005B56DE">
        <w:rPr>
          <w:color w:val="000000" w:themeColor="text1"/>
        </w:rPr>
        <w:t>,</w:t>
      </w:r>
      <w:r w:rsidRPr="005B56DE">
        <w:rPr>
          <w:color w:val="000000" w:themeColor="text1"/>
        </w:rPr>
        <w:t xml:space="preserve"> C</w:t>
      </w:r>
      <w:r w:rsidR="000D0293" w:rsidRPr="005B56DE">
        <w:rPr>
          <w:color w:val="000000" w:themeColor="text1"/>
        </w:rPr>
        <w:t>.</w:t>
      </w:r>
      <w:r w:rsidRPr="005B56DE">
        <w:rPr>
          <w:color w:val="000000" w:themeColor="text1"/>
        </w:rPr>
        <w:t xml:space="preserve">, Trent, S. C. (2013). Providing culturally responsive teaching in field-based and student </w:t>
      </w:r>
    </w:p>
    <w:p w14:paraId="3FB93D2A" w14:textId="77777777" w:rsidR="00B33C38" w:rsidRPr="005B56DE" w:rsidRDefault="00B33C38" w:rsidP="00382083">
      <w:pPr>
        <w:tabs>
          <w:tab w:val="left" w:pos="720"/>
        </w:tabs>
        <w:rPr>
          <w:i/>
          <w:iCs/>
          <w:color w:val="000000" w:themeColor="text1"/>
        </w:rPr>
      </w:pPr>
      <w:r w:rsidRPr="005B56DE">
        <w:rPr>
          <w:color w:val="000000" w:themeColor="text1"/>
        </w:rPr>
        <w:tab/>
        <w:t xml:space="preserve">teaching experiences: A case study. </w:t>
      </w:r>
      <w:r w:rsidRPr="005B56DE">
        <w:rPr>
          <w:i/>
          <w:iCs/>
          <w:color w:val="000000" w:themeColor="text1"/>
        </w:rPr>
        <w:t xml:space="preserve">Interdisciplinary Journal of Teaching and Learning, </w:t>
      </w:r>
    </w:p>
    <w:p w14:paraId="106FADE0" w14:textId="3D0FE9C8" w:rsidR="00B33C38" w:rsidRPr="005B56DE" w:rsidRDefault="00B33C38" w:rsidP="00382083">
      <w:pPr>
        <w:tabs>
          <w:tab w:val="left" w:pos="720"/>
        </w:tabs>
        <w:rPr>
          <w:color w:val="000000" w:themeColor="text1"/>
          <w:shd w:val="clear" w:color="auto" w:fill="FFFFFF"/>
        </w:rPr>
      </w:pPr>
      <w:r w:rsidRPr="005B56DE">
        <w:rPr>
          <w:i/>
          <w:iCs/>
          <w:color w:val="000000" w:themeColor="text1"/>
        </w:rPr>
        <w:tab/>
      </w:r>
      <w:r w:rsidRPr="005B56DE">
        <w:rPr>
          <w:color w:val="000000" w:themeColor="text1"/>
        </w:rPr>
        <w:t>3</w:t>
      </w:r>
      <w:r w:rsidR="00D242C9" w:rsidRPr="005B56DE">
        <w:rPr>
          <w:color w:val="000000" w:themeColor="text1"/>
        </w:rPr>
        <w:t>6</w:t>
      </w:r>
      <w:r w:rsidRPr="005B56DE">
        <w:rPr>
          <w:color w:val="000000" w:themeColor="text1"/>
        </w:rPr>
        <w:t>(2), 82–101.</w:t>
      </w:r>
    </w:p>
    <w:p w14:paraId="58550E2E" w14:textId="77777777" w:rsidR="005D0BCC" w:rsidRPr="005B56DE" w:rsidRDefault="005D0BCC" w:rsidP="00382083">
      <w:pPr>
        <w:tabs>
          <w:tab w:val="left" w:pos="720"/>
        </w:tabs>
        <w:rPr>
          <w:color w:val="000000" w:themeColor="text1"/>
          <w:shd w:val="clear" w:color="auto" w:fill="FFFFFF"/>
        </w:rPr>
      </w:pPr>
    </w:p>
    <w:p w14:paraId="5AC18E3E" w14:textId="4A0FB9BB" w:rsidR="007061A3" w:rsidRPr="005B56DE" w:rsidRDefault="007061A3" w:rsidP="00382083">
      <w:pPr>
        <w:tabs>
          <w:tab w:val="left" w:pos="720"/>
        </w:tabs>
        <w:rPr>
          <w:color w:val="000000" w:themeColor="text1"/>
          <w:shd w:val="clear" w:color="auto" w:fill="FFFFFF"/>
        </w:rPr>
      </w:pPr>
      <w:r w:rsidRPr="005B56DE">
        <w:rPr>
          <w:color w:val="000000" w:themeColor="text1"/>
          <w:shd w:val="clear" w:color="auto" w:fill="FFFFFF"/>
        </w:rPr>
        <w:t>Ladson-Billings, G. (2021). </w:t>
      </w:r>
      <w:r w:rsidRPr="005B56DE">
        <w:rPr>
          <w:i/>
          <w:iCs/>
          <w:color w:val="000000" w:themeColor="text1"/>
          <w:shd w:val="clear" w:color="auto" w:fill="FFFFFF"/>
        </w:rPr>
        <w:t>Culturally relevant pedagogy: Asking a different question</w:t>
      </w:r>
      <w:r w:rsidRPr="005B56DE">
        <w:rPr>
          <w:color w:val="000000" w:themeColor="text1"/>
          <w:shd w:val="clear" w:color="auto" w:fill="FFFFFF"/>
        </w:rPr>
        <w:t xml:space="preserve">. Teachers </w:t>
      </w:r>
    </w:p>
    <w:p w14:paraId="10DF0638" w14:textId="4E7AB7D0" w:rsidR="007061A3" w:rsidRPr="005B56DE" w:rsidRDefault="007061A3" w:rsidP="00382083">
      <w:pPr>
        <w:tabs>
          <w:tab w:val="left" w:pos="720"/>
        </w:tabs>
        <w:rPr>
          <w:color w:val="000000" w:themeColor="text1"/>
          <w:shd w:val="clear" w:color="auto" w:fill="FFFFFF"/>
        </w:rPr>
      </w:pPr>
      <w:r w:rsidRPr="005B56DE">
        <w:rPr>
          <w:color w:val="000000" w:themeColor="text1"/>
          <w:shd w:val="clear" w:color="auto" w:fill="FFFFFF"/>
        </w:rPr>
        <w:tab/>
        <w:t>College Press.</w:t>
      </w:r>
    </w:p>
    <w:p w14:paraId="75AF3C1B" w14:textId="77777777" w:rsidR="007061A3" w:rsidRPr="005B56DE" w:rsidRDefault="007061A3" w:rsidP="00382083">
      <w:pPr>
        <w:tabs>
          <w:tab w:val="left" w:pos="720"/>
        </w:tabs>
        <w:rPr>
          <w:color w:val="000000" w:themeColor="text1"/>
          <w:shd w:val="clear" w:color="auto" w:fill="FFFFFF"/>
        </w:rPr>
      </w:pPr>
    </w:p>
    <w:p w14:paraId="6A542426" w14:textId="56FE527C" w:rsidR="00382083" w:rsidRPr="005B56DE" w:rsidRDefault="00382083" w:rsidP="00382083">
      <w:pPr>
        <w:tabs>
          <w:tab w:val="left" w:pos="720"/>
        </w:tabs>
        <w:rPr>
          <w:i/>
          <w:iCs/>
          <w:color w:val="000000" w:themeColor="text1"/>
          <w:shd w:val="clear" w:color="auto" w:fill="FFFFFF"/>
        </w:rPr>
      </w:pPr>
      <w:r w:rsidRPr="005B56DE">
        <w:rPr>
          <w:color w:val="000000" w:themeColor="text1"/>
          <w:shd w:val="clear" w:color="auto" w:fill="FFFFFF"/>
        </w:rPr>
        <w:t>Ladson-Billings, G. (2014). Culturally relevant pedagogy 2.0: aka the remix. </w:t>
      </w:r>
      <w:r w:rsidRPr="005B56DE">
        <w:rPr>
          <w:i/>
          <w:iCs/>
          <w:color w:val="000000" w:themeColor="text1"/>
          <w:shd w:val="clear" w:color="auto" w:fill="FFFFFF"/>
        </w:rPr>
        <w:t xml:space="preserve">Harvard </w:t>
      </w:r>
    </w:p>
    <w:p w14:paraId="38FBA2F1" w14:textId="4F173B6B" w:rsidR="00382083" w:rsidRPr="005B56DE" w:rsidRDefault="00382083" w:rsidP="00382083">
      <w:pPr>
        <w:tabs>
          <w:tab w:val="left" w:pos="720"/>
        </w:tabs>
        <w:rPr>
          <w:color w:val="000000" w:themeColor="text1"/>
          <w:shd w:val="clear" w:color="auto" w:fill="FFFFFF"/>
        </w:rPr>
      </w:pPr>
      <w:r w:rsidRPr="005B56DE">
        <w:rPr>
          <w:i/>
          <w:iCs/>
          <w:color w:val="000000" w:themeColor="text1"/>
          <w:shd w:val="clear" w:color="auto" w:fill="FFFFFF"/>
        </w:rPr>
        <w:tab/>
        <w:t>educational review</w:t>
      </w:r>
      <w:r w:rsidRPr="005B56DE">
        <w:rPr>
          <w:color w:val="000000" w:themeColor="text1"/>
          <w:shd w:val="clear" w:color="auto" w:fill="FFFFFF"/>
        </w:rPr>
        <w:t>, </w:t>
      </w:r>
      <w:r w:rsidRPr="005B56DE">
        <w:rPr>
          <w:i/>
          <w:iCs/>
          <w:color w:val="000000" w:themeColor="text1"/>
          <w:shd w:val="clear" w:color="auto" w:fill="FFFFFF"/>
        </w:rPr>
        <w:t>84</w:t>
      </w:r>
      <w:r w:rsidRPr="005B56DE">
        <w:rPr>
          <w:color w:val="000000" w:themeColor="text1"/>
          <w:shd w:val="clear" w:color="auto" w:fill="FFFFFF"/>
        </w:rPr>
        <w:t>(1), 74-84.</w:t>
      </w:r>
      <w:r w:rsidR="00D242C9" w:rsidRPr="005B56DE">
        <w:rPr>
          <w:color w:val="000000" w:themeColor="text1"/>
          <w:shd w:val="clear" w:color="auto" w:fill="FFFFFF"/>
        </w:rPr>
        <w:t xml:space="preserve">  https://doi.org/10.17763/haer.84.1.p2rj131485484751 </w:t>
      </w:r>
    </w:p>
    <w:p w14:paraId="646B1321" w14:textId="616543B1" w:rsidR="005840EC" w:rsidRPr="005B56DE" w:rsidRDefault="005840EC" w:rsidP="00382083">
      <w:pPr>
        <w:tabs>
          <w:tab w:val="left" w:pos="720"/>
        </w:tabs>
        <w:rPr>
          <w:color w:val="000000" w:themeColor="text1"/>
          <w:shd w:val="clear" w:color="auto" w:fill="FFFFFF"/>
        </w:rPr>
      </w:pPr>
    </w:p>
    <w:p w14:paraId="125E5956" w14:textId="77777777" w:rsidR="007061A3" w:rsidRPr="005B56DE" w:rsidRDefault="007061A3" w:rsidP="00382083">
      <w:pPr>
        <w:tabs>
          <w:tab w:val="left" w:pos="720"/>
        </w:tabs>
        <w:rPr>
          <w:i/>
          <w:iCs/>
          <w:color w:val="000000" w:themeColor="text1"/>
          <w:shd w:val="clear" w:color="auto" w:fill="FFFFFF"/>
        </w:rPr>
      </w:pPr>
      <w:r w:rsidRPr="005B56DE">
        <w:rPr>
          <w:color w:val="000000" w:themeColor="text1"/>
          <w:shd w:val="clear" w:color="auto" w:fill="FFFFFF"/>
        </w:rPr>
        <w:t>Ladson-Billings, G. (1995). Toward a theory of culturally relevant pedagogy. </w:t>
      </w:r>
      <w:r w:rsidRPr="005B56DE">
        <w:rPr>
          <w:i/>
          <w:iCs/>
          <w:color w:val="000000" w:themeColor="text1"/>
          <w:shd w:val="clear" w:color="auto" w:fill="FFFFFF"/>
        </w:rPr>
        <w:t xml:space="preserve">American </w:t>
      </w:r>
    </w:p>
    <w:p w14:paraId="04E2BF76" w14:textId="162EFFA0" w:rsidR="007061A3" w:rsidRPr="005B56DE" w:rsidRDefault="007061A3" w:rsidP="00382083">
      <w:pPr>
        <w:tabs>
          <w:tab w:val="left" w:pos="720"/>
        </w:tabs>
        <w:rPr>
          <w:color w:val="000000" w:themeColor="text1"/>
          <w:shd w:val="clear" w:color="auto" w:fill="FFFFFF"/>
        </w:rPr>
      </w:pPr>
      <w:r w:rsidRPr="005B56DE">
        <w:rPr>
          <w:i/>
          <w:iCs/>
          <w:color w:val="000000" w:themeColor="text1"/>
          <w:shd w:val="clear" w:color="auto" w:fill="FFFFFF"/>
        </w:rPr>
        <w:tab/>
        <w:t>educational research journal</w:t>
      </w:r>
      <w:r w:rsidRPr="005B56DE">
        <w:rPr>
          <w:color w:val="000000" w:themeColor="text1"/>
          <w:shd w:val="clear" w:color="auto" w:fill="FFFFFF"/>
        </w:rPr>
        <w:t>, </w:t>
      </w:r>
      <w:r w:rsidRPr="005B56DE">
        <w:rPr>
          <w:i/>
          <w:iCs/>
          <w:color w:val="000000" w:themeColor="text1"/>
          <w:shd w:val="clear" w:color="auto" w:fill="FFFFFF"/>
        </w:rPr>
        <w:t>32</w:t>
      </w:r>
      <w:r w:rsidRPr="005B56DE">
        <w:rPr>
          <w:color w:val="000000" w:themeColor="text1"/>
          <w:shd w:val="clear" w:color="auto" w:fill="FFFFFF"/>
        </w:rPr>
        <w:t>(3), 465-</w:t>
      </w:r>
      <w:r w:rsidR="000D0293" w:rsidRPr="005B56DE">
        <w:rPr>
          <w:color w:val="000000" w:themeColor="text1"/>
          <w:shd w:val="clear" w:color="auto" w:fill="FFFFFF"/>
        </w:rPr>
        <w:t xml:space="preserve"> 491. </w:t>
      </w:r>
      <w:hyperlink r:id="rId9" w:history="1">
        <w:r w:rsidR="000D0293" w:rsidRPr="005B56DE">
          <w:rPr>
            <w:rStyle w:val="Hyperlink"/>
            <w:color w:val="000000" w:themeColor="text1"/>
            <w:u w:val="none"/>
            <w:shd w:val="clear" w:color="auto" w:fill="FFFFFF"/>
          </w:rPr>
          <w:tab/>
          <w:t>https://doi.org/10.3102/00028312032003465 </w:t>
        </w:r>
      </w:hyperlink>
    </w:p>
    <w:p w14:paraId="4BA99ED2" w14:textId="77777777" w:rsidR="007061A3" w:rsidRPr="005B56DE" w:rsidRDefault="007061A3" w:rsidP="00382083">
      <w:pPr>
        <w:tabs>
          <w:tab w:val="left" w:pos="720"/>
        </w:tabs>
        <w:rPr>
          <w:color w:val="000000" w:themeColor="text1"/>
          <w:shd w:val="clear" w:color="auto" w:fill="FFFFFF"/>
        </w:rPr>
      </w:pPr>
    </w:p>
    <w:p w14:paraId="3EDDC9EC" w14:textId="77777777" w:rsidR="007061A3" w:rsidRPr="005B56DE" w:rsidRDefault="007061A3" w:rsidP="00382083">
      <w:pPr>
        <w:tabs>
          <w:tab w:val="left" w:pos="720"/>
        </w:tabs>
        <w:rPr>
          <w:i/>
          <w:iCs/>
          <w:color w:val="000000" w:themeColor="text1"/>
          <w:shd w:val="clear" w:color="auto" w:fill="FFFFFF"/>
        </w:rPr>
      </w:pPr>
      <w:r w:rsidRPr="005B56DE">
        <w:rPr>
          <w:color w:val="000000" w:themeColor="text1"/>
          <w:shd w:val="clear" w:color="auto" w:fill="FFFFFF"/>
        </w:rPr>
        <w:t>Lindsey, D. B., &amp; Lindsey, R. B. (2016). Build cultural proficiency to ensure equity. </w:t>
      </w:r>
      <w:r w:rsidRPr="005B56DE">
        <w:rPr>
          <w:i/>
          <w:iCs/>
          <w:color w:val="000000" w:themeColor="text1"/>
          <w:shd w:val="clear" w:color="auto" w:fill="FFFFFF"/>
        </w:rPr>
        <w:t xml:space="preserve">Journal of </w:t>
      </w:r>
    </w:p>
    <w:p w14:paraId="6CD9B440" w14:textId="065CDDFF" w:rsidR="007061A3" w:rsidRPr="005B56DE" w:rsidRDefault="007061A3" w:rsidP="00382083">
      <w:pPr>
        <w:tabs>
          <w:tab w:val="left" w:pos="720"/>
        </w:tabs>
        <w:rPr>
          <w:color w:val="000000" w:themeColor="text1"/>
          <w:shd w:val="clear" w:color="auto" w:fill="FFFFFF"/>
        </w:rPr>
      </w:pPr>
      <w:r w:rsidRPr="005B56DE">
        <w:rPr>
          <w:i/>
          <w:iCs/>
          <w:color w:val="000000" w:themeColor="text1"/>
          <w:shd w:val="clear" w:color="auto" w:fill="FFFFFF"/>
        </w:rPr>
        <w:tab/>
        <w:t>Staff Development</w:t>
      </w:r>
      <w:r w:rsidRPr="005B56DE">
        <w:rPr>
          <w:color w:val="000000" w:themeColor="text1"/>
          <w:shd w:val="clear" w:color="auto" w:fill="FFFFFF"/>
        </w:rPr>
        <w:t>, </w:t>
      </w:r>
      <w:r w:rsidRPr="005B56DE">
        <w:rPr>
          <w:i/>
          <w:iCs/>
          <w:color w:val="000000" w:themeColor="text1"/>
          <w:shd w:val="clear" w:color="auto" w:fill="FFFFFF"/>
        </w:rPr>
        <w:t>37</w:t>
      </w:r>
      <w:r w:rsidRPr="005B56DE">
        <w:rPr>
          <w:color w:val="000000" w:themeColor="text1"/>
          <w:shd w:val="clear" w:color="auto" w:fill="FFFFFF"/>
        </w:rPr>
        <w:t>(1), 50-56.</w:t>
      </w:r>
      <w:r w:rsidR="000D0293" w:rsidRPr="005B56DE">
        <w:rPr>
          <w:color w:val="000000" w:themeColor="text1"/>
          <w:shd w:val="clear" w:color="auto" w:fill="FFFFFF"/>
        </w:rPr>
        <w:t xml:space="preserve">  https://doi.org/10.4135/9781452291901.n1 </w:t>
      </w:r>
    </w:p>
    <w:p w14:paraId="1279BE91" w14:textId="63908469" w:rsidR="00B33C38" w:rsidRPr="005B56DE" w:rsidRDefault="00B33C38" w:rsidP="00382083">
      <w:pPr>
        <w:tabs>
          <w:tab w:val="left" w:pos="720"/>
        </w:tabs>
        <w:rPr>
          <w:color w:val="000000" w:themeColor="text1"/>
          <w:shd w:val="clear" w:color="auto" w:fill="FFFFFF"/>
        </w:rPr>
      </w:pPr>
    </w:p>
    <w:p w14:paraId="19EBC1C5" w14:textId="77777777" w:rsidR="00B33C38" w:rsidRPr="005B56DE" w:rsidRDefault="00B33C38" w:rsidP="00382083">
      <w:pPr>
        <w:tabs>
          <w:tab w:val="left" w:pos="720"/>
        </w:tabs>
        <w:rPr>
          <w:color w:val="000000" w:themeColor="text1"/>
        </w:rPr>
      </w:pPr>
      <w:r w:rsidRPr="005B56DE">
        <w:rPr>
          <w:color w:val="000000" w:themeColor="text1"/>
        </w:rPr>
        <w:t xml:space="preserve">McFarland, J., Hussar, B., Wang, X., Zhang, J., Wang, K., Rathbun, A., Barmer, A., Forrest </w:t>
      </w:r>
    </w:p>
    <w:p w14:paraId="1E0219D7" w14:textId="77777777" w:rsidR="00B33C38" w:rsidRPr="005B56DE" w:rsidRDefault="00B33C38" w:rsidP="00382083">
      <w:pPr>
        <w:tabs>
          <w:tab w:val="left" w:pos="720"/>
        </w:tabs>
        <w:rPr>
          <w:color w:val="000000" w:themeColor="text1"/>
        </w:rPr>
      </w:pPr>
      <w:r w:rsidRPr="005B56DE">
        <w:rPr>
          <w:color w:val="000000" w:themeColor="text1"/>
        </w:rPr>
        <w:tab/>
        <w:t xml:space="preserve">Cataldi, E., and Bullock Mann, F. (2018). The Condition of Education 2018 </w:t>
      </w:r>
    </w:p>
    <w:p w14:paraId="243FEA63" w14:textId="77777777" w:rsidR="00B33C38" w:rsidRPr="005B56DE" w:rsidRDefault="00B33C38" w:rsidP="00382083">
      <w:pPr>
        <w:tabs>
          <w:tab w:val="left" w:pos="720"/>
        </w:tabs>
        <w:rPr>
          <w:i/>
          <w:iCs/>
          <w:color w:val="000000" w:themeColor="text1"/>
        </w:rPr>
      </w:pPr>
      <w:r w:rsidRPr="005B56DE">
        <w:rPr>
          <w:color w:val="000000" w:themeColor="text1"/>
        </w:rPr>
        <w:tab/>
        <w:t xml:space="preserve">(NCES 2018-144). U.S. Department of Education. Washington, DC: </w:t>
      </w:r>
      <w:r w:rsidRPr="005B56DE">
        <w:rPr>
          <w:i/>
          <w:iCs/>
          <w:color w:val="000000" w:themeColor="text1"/>
        </w:rPr>
        <w:t xml:space="preserve">National Center for </w:t>
      </w:r>
    </w:p>
    <w:p w14:paraId="62401622" w14:textId="7B0000FB" w:rsidR="00B33C38" w:rsidRPr="005B56DE" w:rsidRDefault="00B33C38" w:rsidP="00382083">
      <w:pPr>
        <w:tabs>
          <w:tab w:val="left" w:pos="720"/>
        </w:tabs>
        <w:rPr>
          <w:color w:val="000000" w:themeColor="text1"/>
        </w:rPr>
      </w:pPr>
      <w:r w:rsidRPr="005B56DE">
        <w:rPr>
          <w:i/>
          <w:iCs/>
          <w:color w:val="000000" w:themeColor="text1"/>
        </w:rPr>
        <w:tab/>
        <w:t>Education Statistics</w:t>
      </w:r>
      <w:r w:rsidRPr="005B56DE">
        <w:rPr>
          <w:color w:val="000000" w:themeColor="text1"/>
        </w:rPr>
        <w:t xml:space="preserve">. Retrieved [date] from https://nces.ed.gov/pubsearch/pubsinfo. </w:t>
      </w:r>
    </w:p>
    <w:p w14:paraId="3A3491C7" w14:textId="60798F25" w:rsidR="00B33C38" w:rsidRPr="005B56DE" w:rsidRDefault="00B33C38" w:rsidP="00382083">
      <w:pPr>
        <w:tabs>
          <w:tab w:val="left" w:pos="720"/>
        </w:tabs>
        <w:rPr>
          <w:color w:val="000000" w:themeColor="text1"/>
          <w:shd w:val="clear" w:color="auto" w:fill="FFFFFF"/>
        </w:rPr>
      </w:pPr>
      <w:r w:rsidRPr="005B56DE">
        <w:rPr>
          <w:color w:val="000000" w:themeColor="text1"/>
        </w:rPr>
        <w:tab/>
        <w:t>asp?pubid=2018144.</w:t>
      </w:r>
    </w:p>
    <w:p w14:paraId="44D334CA" w14:textId="759CF522" w:rsidR="003344E1" w:rsidRPr="005B56DE" w:rsidRDefault="003344E1" w:rsidP="00382083">
      <w:pPr>
        <w:tabs>
          <w:tab w:val="left" w:pos="720"/>
        </w:tabs>
        <w:rPr>
          <w:color w:val="000000" w:themeColor="text1"/>
          <w:shd w:val="clear" w:color="auto" w:fill="FFFFFF"/>
        </w:rPr>
      </w:pPr>
    </w:p>
    <w:p w14:paraId="7531914C" w14:textId="77777777" w:rsidR="000D0293" w:rsidRPr="005B56DE" w:rsidRDefault="003344E1" w:rsidP="00382083">
      <w:pPr>
        <w:tabs>
          <w:tab w:val="left" w:pos="720"/>
        </w:tabs>
        <w:rPr>
          <w:color w:val="000000" w:themeColor="text1"/>
          <w:shd w:val="clear" w:color="auto" w:fill="FFFFFF"/>
        </w:rPr>
      </w:pPr>
      <w:r w:rsidRPr="005B56DE">
        <w:rPr>
          <w:color w:val="000000" w:themeColor="text1"/>
          <w:shd w:val="clear" w:color="auto" w:fill="FFFFFF"/>
        </w:rPr>
        <w:t xml:space="preserve">Mercer, J. (1973). </w:t>
      </w:r>
      <w:r w:rsidRPr="005B56DE">
        <w:rPr>
          <w:i/>
          <w:iCs/>
          <w:color w:val="000000" w:themeColor="text1"/>
          <w:shd w:val="clear" w:color="auto" w:fill="FFFFFF"/>
        </w:rPr>
        <w:t>Labeling the mentally retarded.</w:t>
      </w:r>
      <w:r w:rsidRPr="005B56DE">
        <w:rPr>
          <w:color w:val="000000" w:themeColor="text1"/>
          <w:shd w:val="clear" w:color="auto" w:fill="FFFFFF"/>
        </w:rPr>
        <w:t xml:space="preserve"> Los Angeles: University of California </w:t>
      </w:r>
    </w:p>
    <w:p w14:paraId="21750BB2" w14:textId="6310821F" w:rsidR="003344E1" w:rsidRPr="005B56DE" w:rsidRDefault="000D0293" w:rsidP="00382083">
      <w:pPr>
        <w:tabs>
          <w:tab w:val="left" w:pos="720"/>
        </w:tabs>
        <w:rPr>
          <w:color w:val="000000" w:themeColor="text1"/>
          <w:shd w:val="clear" w:color="auto" w:fill="FFFFFF"/>
        </w:rPr>
      </w:pPr>
      <w:r w:rsidRPr="005B56DE">
        <w:rPr>
          <w:color w:val="000000" w:themeColor="text1"/>
          <w:shd w:val="clear" w:color="auto" w:fill="FFFFFF"/>
        </w:rPr>
        <w:tab/>
      </w:r>
      <w:r w:rsidR="003344E1" w:rsidRPr="005B56DE">
        <w:rPr>
          <w:color w:val="000000" w:themeColor="text1"/>
          <w:shd w:val="clear" w:color="auto" w:fill="FFFFFF"/>
        </w:rPr>
        <w:t>Press.</w:t>
      </w:r>
      <w:r w:rsidRPr="005B56DE">
        <w:rPr>
          <w:color w:val="000000" w:themeColor="text1"/>
          <w:shd w:val="clear" w:color="auto" w:fill="FFFFFF"/>
        </w:rPr>
        <w:t xml:space="preserve">  https://doi.org/10.1525/9780520311503 </w:t>
      </w:r>
    </w:p>
    <w:p w14:paraId="0D9E9064" w14:textId="17160BCC" w:rsidR="003344E1" w:rsidRPr="005B56DE" w:rsidRDefault="003344E1" w:rsidP="00382083">
      <w:pPr>
        <w:tabs>
          <w:tab w:val="left" w:pos="720"/>
        </w:tabs>
        <w:rPr>
          <w:color w:val="000000" w:themeColor="text1"/>
          <w:shd w:val="clear" w:color="auto" w:fill="FFFFFF"/>
        </w:rPr>
      </w:pPr>
    </w:p>
    <w:p w14:paraId="34C773C5" w14:textId="520DCCFB" w:rsidR="00382083" w:rsidRPr="005B56DE" w:rsidRDefault="003344E1" w:rsidP="00382083">
      <w:pPr>
        <w:tabs>
          <w:tab w:val="left" w:pos="720"/>
        </w:tabs>
        <w:rPr>
          <w:color w:val="000000" w:themeColor="text1"/>
          <w:shd w:val="clear" w:color="auto" w:fill="FFFFFF"/>
        </w:rPr>
      </w:pPr>
      <w:r w:rsidRPr="005B56DE">
        <w:rPr>
          <w:color w:val="000000" w:themeColor="text1"/>
          <w:shd w:val="clear" w:color="auto" w:fill="FFFFFF"/>
        </w:rPr>
        <w:t xml:space="preserve">National Research Council. (2002). </w:t>
      </w:r>
      <w:r w:rsidRPr="005B56DE">
        <w:rPr>
          <w:i/>
          <w:iCs/>
          <w:color w:val="000000" w:themeColor="text1"/>
          <w:shd w:val="clear" w:color="auto" w:fill="FFFFFF"/>
        </w:rPr>
        <w:t>Scientific research in education.</w:t>
      </w:r>
      <w:r w:rsidRPr="005B56DE">
        <w:rPr>
          <w:color w:val="000000" w:themeColor="text1"/>
          <w:shd w:val="clear" w:color="auto" w:fill="FFFFFF"/>
        </w:rPr>
        <w:t xml:space="preserve"> National Academies Press.</w:t>
      </w:r>
    </w:p>
    <w:p w14:paraId="0A7AC0D0" w14:textId="77777777" w:rsidR="000D0293" w:rsidRPr="005B56DE" w:rsidRDefault="000D0293" w:rsidP="00382083">
      <w:pPr>
        <w:tabs>
          <w:tab w:val="left" w:pos="720"/>
        </w:tabs>
        <w:rPr>
          <w:color w:val="000000" w:themeColor="text1"/>
          <w:shd w:val="clear" w:color="auto" w:fill="FFFFFF"/>
        </w:rPr>
      </w:pPr>
    </w:p>
    <w:p w14:paraId="62B110D3" w14:textId="0153E4BC" w:rsidR="00382083" w:rsidRPr="005B56DE" w:rsidRDefault="00382083" w:rsidP="00382083">
      <w:pPr>
        <w:tabs>
          <w:tab w:val="left" w:pos="720"/>
        </w:tabs>
        <w:rPr>
          <w:color w:val="000000" w:themeColor="text1"/>
          <w:shd w:val="clear" w:color="auto" w:fill="FFFFFF"/>
        </w:rPr>
      </w:pPr>
      <w:r w:rsidRPr="005B56DE">
        <w:rPr>
          <w:color w:val="000000" w:themeColor="text1"/>
          <w:shd w:val="clear" w:color="auto" w:fill="FFFFFF"/>
        </w:rPr>
        <w:t xml:space="preserve">Paris, D. (2012). Culturally sustaining pedagogy: A needed change in stance, terminology, and </w:t>
      </w:r>
    </w:p>
    <w:p w14:paraId="5C0BD94C" w14:textId="2BEE29B1" w:rsidR="000D0293" w:rsidRPr="005B56DE" w:rsidRDefault="00382083" w:rsidP="00382083">
      <w:pPr>
        <w:tabs>
          <w:tab w:val="left" w:pos="720"/>
        </w:tabs>
        <w:rPr>
          <w:color w:val="000000" w:themeColor="text1"/>
          <w:shd w:val="clear" w:color="auto" w:fill="FFFFFF"/>
        </w:rPr>
      </w:pPr>
      <w:r w:rsidRPr="005B56DE">
        <w:rPr>
          <w:color w:val="000000" w:themeColor="text1"/>
          <w:shd w:val="clear" w:color="auto" w:fill="FFFFFF"/>
        </w:rPr>
        <w:tab/>
        <w:t>practice. </w:t>
      </w:r>
      <w:r w:rsidRPr="005B56DE">
        <w:rPr>
          <w:i/>
          <w:iCs/>
          <w:color w:val="000000" w:themeColor="text1"/>
          <w:shd w:val="clear" w:color="auto" w:fill="FFFFFF"/>
        </w:rPr>
        <w:t>Educational researcher</w:t>
      </w:r>
      <w:r w:rsidRPr="005B56DE">
        <w:rPr>
          <w:color w:val="000000" w:themeColor="text1"/>
          <w:shd w:val="clear" w:color="auto" w:fill="FFFFFF"/>
        </w:rPr>
        <w:t>, </w:t>
      </w:r>
      <w:r w:rsidRPr="005B56DE">
        <w:rPr>
          <w:i/>
          <w:iCs/>
          <w:color w:val="000000" w:themeColor="text1"/>
          <w:shd w:val="clear" w:color="auto" w:fill="FFFFFF"/>
        </w:rPr>
        <w:t>41</w:t>
      </w:r>
      <w:r w:rsidRPr="005B56DE">
        <w:rPr>
          <w:color w:val="000000" w:themeColor="text1"/>
          <w:shd w:val="clear" w:color="auto" w:fill="FFFFFF"/>
        </w:rPr>
        <w:t>(3), 93-</w:t>
      </w:r>
      <w:r w:rsidR="000D0293" w:rsidRPr="005B56DE">
        <w:rPr>
          <w:color w:val="000000" w:themeColor="text1"/>
          <w:shd w:val="clear" w:color="auto" w:fill="FFFFFF"/>
        </w:rPr>
        <w:t xml:space="preserve">97. </w:t>
      </w:r>
    </w:p>
    <w:p w14:paraId="3DDF5AB3" w14:textId="17352864" w:rsidR="00382083" w:rsidRPr="005B56DE" w:rsidRDefault="000D0293" w:rsidP="00382083">
      <w:pPr>
        <w:tabs>
          <w:tab w:val="left" w:pos="720"/>
        </w:tabs>
        <w:rPr>
          <w:color w:val="000000" w:themeColor="text1"/>
          <w:shd w:val="clear" w:color="auto" w:fill="FFFFFF"/>
        </w:rPr>
      </w:pPr>
      <w:r w:rsidRPr="005B56DE">
        <w:rPr>
          <w:color w:val="000000" w:themeColor="text1"/>
          <w:shd w:val="clear" w:color="auto" w:fill="FFFFFF"/>
        </w:rPr>
        <w:tab/>
        <w:t> https://doi.org/10.3102/0013189x12441244 </w:t>
      </w:r>
    </w:p>
    <w:p w14:paraId="03AB004E" w14:textId="52377006" w:rsidR="003344E1" w:rsidRPr="005B56DE" w:rsidRDefault="003344E1" w:rsidP="00382083">
      <w:pPr>
        <w:tabs>
          <w:tab w:val="left" w:pos="720"/>
        </w:tabs>
        <w:rPr>
          <w:color w:val="000000" w:themeColor="text1"/>
          <w:shd w:val="clear" w:color="auto" w:fill="FFFFFF"/>
        </w:rPr>
      </w:pPr>
    </w:p>
    <w:p w14:paraId="720B41A1" w14:textId="77777777" w:rsidR="003344E1" w:rsidRPr="005B56DE" w:rsidRDefault="003344E1" w:rsidP="00382083">
      <w:pPr>
        <w:tabs>
          <w:tab w:val="left" w:pos="720"/>
        </w:tabs>
        <w:rPr>
          <w:color w:val="000000" w:themeColor="text1"/>
          <w:shd w:val="clear" w:color="auto" w:fill="FFFFFF"/>
        </w:rPr>
      </w:pPr>
      <w:r w:rsidRPr="005B56DE">
        <w:rPr>
          <w:color w:val="000000" w:themeColor="text1"/>
          <w:shd w:val="clear" w:color="auto" w:fill="FFFFFF"/>
        </w:rPr>
        <w:t xml:space="preserve">Skiba, R. J., Simmons, A. B., Ritter, S., Gibb, A. C., Rausch, M. K., Cuadrado, J., &amp; Chung, C. </w:t>
      </w:r>
    </w:p>
    <w:p w14:paraId="7A9D5A80" w14:textId="77777777" w:rsidR="003344E1" w:rsidRPr="005B56DE" w:rsidRDefault="003344E1" w:rsidP="00382083">
      <w:pPr>
        <w:tabs>
          <w:tab w:val="left" w:pos="720"/>
        </w:tabs>
        <w:rPr>
          <w:color w:val="000000" w:themeColor="text1"/>
          <w:shd w:val="clear" w:color="auto" w:fill="FFFFFF"/>
        </w:rPr>
      </w:pPr>
      <w:r w:rsidRPr="005B56DE">
        <w:rPr>
          <w:color w:val="000000" w:themeColor="text1"/>
          <w:shd w:val="clear" w:color="auto" w:fill="FFFFFF"/>
        </w:rPr>
        <w:tab/>
        <w:t xml:space="preserve">G. (2008). Achieving equity in special education: History, status, and current challenges. </w:t>
      </w:r>
    </w:p>
    <w:p w14:paraId="33D17F28" w14:textId="570BBF4D" w:rsidR="003344E1" w:rsidRPr="005B56DE" w:rsidRDefault="003344E1" w:rsidP="00382083">
      <w:pPr>
        <w:tabs>
          <w:tab w:val="left" w:pos="720"/>
        </w:tabs>
        <w:rPr>
          <w:color w:val="000000" w:themeColor="text1"/>
          <w:shd w:val="clear" w:color="auto" w:fill="FFFFFF"/>
        </w:rPr>
      </w:pPr>
      <w:r w:rsidRPr="005B56DE">
        <w:rPr>
          <w:color w:val="000000" w:themeColor="text1"/>
          <w:shd w:val="clear" w:color="auto" w:fill="FFFFFF"/>
        </w:rPr>
        <w:tab/>
      </w:r>
      <w:r w:rsidRPr="005B56DE">
        <w:rPr>
          <w:i/>
          <w:iCs/>
          <w:color w:val="000000" w:themeColor="text1"/>
          <w:shd w:val="clear" w:color="auto" w:fill="FFFFFF"/>
        </w:rPr>
        <w:t>Exceptional Children, 74</w:t>
      </w:r>
      <w:r w:rsidRPr="005B56DE">
        <w:rPr>
          <w:color w:val="000000" w:themeColor="text1"/>
          <w:shd w:val="clear" w:color="auto" w:fill="FFFFFF"/>
        </w:rPr>
        <w:t>(3), 264-288.</w:t>
      </w:r>
      <w:r w:rsidR="000D0293" w:rsidRPr="005B56DE">
        <w:rPr>
          <w:color w:val="000000" w:themeColor="text1"/>
          <w:shd w:val="clear" w:color="auto" w:fill="FFFFFF"/>
        </w:rPr>
        <w:t xml:space="preserve">  https://doi.org/10.1177/001440290807400301  </w:t>
      </w:r>
    </w:p>
    <w:p w14:paraId="7A11739F" w14:textId="0A8D9875" w:rsidR="007061A3" w:rsidRPr="005B56DE" w:rsidRDefault="007061A3" w:rsidP="00382083">
      <w:pPr>
        <w:tabs>
          <w:tab w:val="left" w:pos="720"/>
        </w:tabs>
        <w:rPr>
          <w:color w:val="000000" w:themeColor="text1"/>
          <w:shd w:val="clear" w:color="auto" w:fill="FFFFFF"/>
        </w:rPr>
      </w:pPr>
    </w:p>
    <w:p w14:paraId="2821C38A" w14:textId="77777777" w:rsidR="007061A3" w:rsidRPr="005B56DE" w:rsidRDefault="007061A3" w:rsidP="00382083">
      <w:pPr>
        <w:tabs>
          <w:tab w:val="left" w:pos="720"/>
        </w:tabs>
        <w:rPr>
          <w:color w:val="000000" w:themeColor="text1"/>
          <w:shd w:val="clear" w:color="auto" w:fill="FFFFFF"/>
        </w:rPr>
      </w:pPr>
      <w:r w:rsidRPr="005B56DE">
        <w:rPr>
          <w:color w:val="000000" w:themeColor="text1"/>
          <w:shd w:val="clear" w:color="auto" w:fill="FFFFFF"/>
        </w:rPr>
        <w:t xml:space="preserve">Sugai, G., O’Keeffe, B. V., &amp; Fallon, L. M. (2012). A contextual consideration of culture and </w:t>
      </w:r>
    </w:p>
    <w:p w14:paraId="6BC0AB54" w14:textId="77777777" w:rsidR="007061A3" w:rsidRPr="005B56DE" w:rsidRDefault="007061A3" w:rsidP="00382083">
      <w:pPr>
        <w:tabs>
          <w:tab w:val="left" w:pos="720"/>
        </w:tabs>
        <w:rPr>
          <w:color w:val="000000" w:themeColor="text1"/>
          <w:shd w:val="clear" w:color="auto" w:fill="FFFFFF"/>
        </w:rPr>
      </w:pPr>
      <w:r w:rsidRPr="005B56DE">
        <w:rPr>
          <w:color w:val="000000" w:themeColor="text1"/>
          <w:shd w:val="clear" w:color="auto" w:fill="FFFFFF"/>
        </w:rPr>
        <w:tab/>
        <w:t>school-wide positive behavior support. </w:t>
      </w:r>
      <w:r w:rsidRPr="005B56DE">
        <w:rPr>
          <w:i/>
          <w:iCs/>
          <w:color w:val="000000" w:themeColor="text1"/>
          <w:shd w:val="clear" w:color="auto" w:fill="FFFFFF"/>
        </w:rPr>
        <w:t>Journal of Positive Behavior Interventions</w:t>
      </w:r>
      <w:r w:rsidRPr="005B56DE">
        <w:rPr>
          <w:color w:val="000000" w:themeColor="text1"/>
          <w:shd w:val="clear" w:color="auto" w:fill="FFFFFF"/>
        </w:rPr>
        <w:t>, </w:t>
      </w:r>
      <w:r w:rsidRPr="005B56DE">
        <w:rPr>
          <w:i/>
          <w:iCs/>
          <w:color w:val="000000" w:themeColor="text1"/>
          <w:shd w:val="clear" w:color="auto" w:fill="FFFFFF"/>
        </w:rPr>
        <w:t>14</w:t>
      </w:r>
      <w:r w:rsidRPr="005B56DE">
        <w:rPr>
          <w:color w:val="000000" w:themeColor="text1"/>
          <w:shd w:val="clear" w:color="auto" w:fill="FFFFFF"/>
        </w:rPr>
        <w:t xml:space="preserve">(4), </w:t>
      </w:r>
    </w:p>
    <w:p w14:paraId="7ED5F2AD" w14:textId="2C7A2045" w:rsidR="00AF2858" w:rsidRPr="005B56DE" w:rsidRDefault="007061A3" w:rsidP="00AF2858">
      <w:pPr>
        <w:tabs>
          <w:tab w:val="left" w:pos="720"/>
        </w:tabs>
        <w:rPr>
          <w:color w:val="000000" w:themeColor="text1"/>
          <w:shd w:val="clear" w:color="auto" w:fill="FFFFFF"/>
        </w:rPr>
      </w:pPr>
      <w:r w:rsidRPr="005B56DE">
        <w:rPr>
          <w:color w:val="000000" w:themeColor="text1"/>
          <w:shd w:val="clear" w:color="auto" w:fill="FFFFFF"/>
        </w:rPr>
        <w:tab/>
        <w:t>197-208.</w:t>
      </w:r>
      <w:r w:rsidR="000D0293" w:rsidRPr="005B56DE">
        <w:rPr>
          <w:color w:val="000000" w:themeColor="text1"/>
          <w:shd w:val="clear" w:color="auto" w:fill="FFFFFF"/>
        </w:rPr>
        <w:t xml:space="preserve">  https://doi.org/10.1177/1098300711426334 </w:t>
      </w:r>
    </w:p>
    <w:p w14:paraId="430AA853" w14:textId="0AE85CEF" w:rsidR="00AF2858" w:rsidRPr="005B56DE" w:rsidRDefault="00AF2858" w:rsidP="00AF2858">
      <w:pPr>
        <w:tabs>
          <w:tab w:val="left" w:pos="720"/>
        </w:tabs>
        <w:rPr>
          <w:color w:val="000000" w:themeColor="text1"/>
          <w:shd w:val="clear" w:color="auto" w:fill="FFFFFF"/>
        </w:rPr>
      </w:pPr>
    </w:p>
    <w:p w14:paraId="0F41FC11" w14:textId="77777777" w:rsidR="00AF2858" w:rsidRPr="00416CEE" w:rsidRDefault="00AF2858" w:rsidP="00AF2858">
      <w:pPr>
        <w:tabs>
          <w:tab w:val="left" w:pos="720"/>
        </w:tabs>
      </w:pPr>
    </w:p>
    <w:p w14:paraId="4AF9AFBC" w14:textId="67D79BFB" w:rsidR="00AF2858" w:rsidRPr="00416CEE" w:rsidRDefault="00AF2858" w:rsidP="00AF2858">
      <w:pPr>
        <w:tabs>
          <w:tab w:val="left" w:pos="720"/>
        </w:tabs>
      </w:pPr>
    </w:p>
    <w:p w14:paraId="5587E079" w14:textId="77777777" w:rsidR="00AF2858" w:rsidRPr="00AF2858" w:rsidRDefault="00AF2858" w:rsidP="00AF2858">
      <w:pPr>
        <w:tabs>
          <w:tab w:val="left" w:pos="720"/>
        </w:tabs>
      </w:pPr>
    </w:p>
    <w:sectPr w:rsidR="00AF2858" w:rsidRPr="00AF2858" w:rsidSect="00CE7B89">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B6D3" w14:textId="77777777" w:rsidR="001A1290" w:rsidRDefault="001A1290" w:rsidP="00662A54">
      <w:r>
        <w:separator/>
      </w:r>
    </w:p>
  </w:endnote>
  <w:endnote w:type="continuationSeparator" w:id="0">
    <w:p w14:paraId="3FEB01BE" w14:textId="77777777" w:rsidR="001A1290" w:rsidRDefault="001A1290" w:rsidP="0066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807A" w14:textId="77777777" w:rsidR="001A1290" w:rsidRDefault="001A1290" w:rsidP="00662A54">
      <w:r>
        <w:separator/>
      </w:r>
    </w:p>
  </w:footnote>
  <w:footnote w:type="continuationSeparator" w:id="0">
    <w:p w14:paraId="31B5EFAA" w14:textId="77777777" w:rsidR="001A1290" w:rsidRDefault="001A1290" w:rsidP="0066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755783"/>
      <w:docPartObj>
        <w:docPartGallery w:val="Page Numbers (Top of Page)"/>
        <w:docPartUnique/>
      </w:docPartObj>
    </w:sdtPr>
    <w:sdtContent>
      <w:p w14:paraId="54AB30CD" w14:textId="1E044DA7" w:rsidR="00662A54" w:rsidRDefault="00662A54" w:rsidP="00C805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84DC4" w14:textId="77777777" w:rsidR="00662A54" w:rsidRDefault="00662A54" w:rsidP="00662A5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962838018"/>
      <w:docPartObj>
        <w:docPartGallery w:val="Page Numbers (Top of Page)"/>
        <w:docPartUnique/>
      </w:docPartObj>
    </w:sdtPr>
    <w:sdtContent>
      <w:p w14:paraId="06A069FE" w14:textId="161FCB33" w:rsidR="00662A54" w:rsidRPr="00662A54" w:rsidRDefault="00662A54" w:rsidP="00C805D7">
        <w:pPr>
          <w:pStyle w:val="Header"/>
          <w:framePr w:wrap="none" w:vAnchor="text" w:hAnchor="margin" w:xAlign="right" w:y="1"/>
          <w:rPr>
            <w:rStyle w:val="PageNumber"/>
            <w:rFonts w:ascii="Times New Roman" w:hAnsi="Times New Roman" w:cs="Times New Roman"/>
          </w:rPr>
        </w:pPr>
        <w:r w:rsidRPr="00662A54">
          <w:rPr>
            <w:rStyle w:val="PageNumber"/>
            <w:rFonts w:ascii="Times New Roman" w:hAnsi="Times New Roman" w:cs="Times New Roman"/>
          </w:rPr>
          <w:fldChar w:fldCharType="begin"/>
        </w:r>
        <w:r w:rsidRPr="00662A54">
          <w:rPr>
            <w:rStyle w:val="PageNumber"/>
            <w:rFonts w:ascii="Times New Roman" w:hAnsi="Times New Roman" w:cs="Times New Roman"/>
          </w:rPr>
          <w:instrText xml:space="preserve"> PAGE </w:instrText>
        </w:r>
        <w:r w:rsidRPr="00662A54">
          <w:rPr>
            <w:rStyle w:val="PageNumber"/>
            <w:rFonts w:ascii="Times New Roman" w:hAnsi="Times New Roman" w:cs="Times New Roman"/>
          </w:rPr>
          <w:fldChar w:fldCharType="separate"/>
        </w:r>
        <w:r w:rsidRPr="00662A54">
          <w:rPr>
            <w:rStyle w:val="PageNumber"/>
            <w:rFonts w:ascii="Times New Roman" w:hAnsi="Times New Roman" w:cs="Times New Roman"/>
            <w:noProof/>
          </w:rPr>
          <w:t>1</w:t>
        </w:r>
        <w:r w:rsidRPr="00662A54">
          <w:rPr>
            <w:rStyle w:val="PageNumber"/>
            <w:rFonts w:ascii="Times New Roman" w:hAnsi="Times New Roman" w:cs="Times New Roman"/>
          </w:rPr>
          <w:fldChar w:fldCharType="end"/>
        </w:r>
      </w:p>
    </w:sdtContent>
  </w:sdt>
  <w:p w14:paraId="1BE088EA" w14:textId="23B745BA" w:rsidR="00662A54" w:rsidRPr="00662A54" w:rsidRDefault="003D783E" w:rsidP="00662A54">
    <w:pPr>
      <w:pStyle w:val="Header"/>
      <w:ind w:right="360"/>
      <w:rPr>
        <w:rFonts w:ascii="Times New Roman" w:hAnsi="Times New Roman" w:cs="Times New Roman"/>
      </w:rPr>
    </w:pPr>
    <w:r>
      <w:rPr>
        <w:rFonts w:ascii="Times New Roman" w:hAnsi="Times New Roman" w:cs="Times New Roman"/>
      </w:rPr>
      <w:t>FOUNDATIONAL AND CONTEMPORARY LITERATURE</w:t>
    </w:r>
    <w:r w:rsidR="00662A54">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694253"/>
    <w:multiLevelType w:val="multilevel"/>
    <w:tmpl w:val="58BC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11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54"/>
    <w:rsid w:val="00051D88"/>
    <w:rsid w:val="0006197D"/>
    <w:rsid w:val="000625EE"/>
    <w:rsid w:val="000C0FDC"/>
    <w:rsid w:val="000C65AA"/>
    <w:rsid w:val="000C6A6C"/>
    <w:rsid w:val="000D0293"/>
    <w:rsid w:val="000D7F2D"/>
    <w:rsid w:val="000F6978"/>
    <w:rsid w:val="00100C2D"/>
    <w:rsid w:val="0015052A"/>
    <w:rsid w:val="001668EC"/>
    <w:rsid w:val="00186134"/>
    <w:rsid w:val="001A1290"/>
    <w:rsid w:val="00225637"/>
    <w:rsid w:val="00234691"/>
    <w:rsid w:val="002605DE"/>
    <w:rsid w:val="002767A2"/>
    <w:rsid w:val="00287845"/>
    <w:rsid w:val="002A0CB3"/>
    <w:rsid w:val="002A49B4"/>
    <w:rsid w:val="002A71DF"/>
    <w:rsid w:val="002C5435"/>
    <w:rsid w:val="002C6F2C"/>
    <w:rsid w:val="002E45EF"/>
    <w:rsid w:val="00314AF6"/>
    <w:rsid w:val="00315508"/>
    <w:rsid w:val="00331932"/>
    <w:rsid w:val="003344E1"/>
    <w:rsid w:val="0033617F"/>
    <w:rsid w:val="00354D72"/>
    <w:rsid w:val="003674AC"/>
    <w:rsid w:val="00380732"/>
    <w:rsid w:val="00382083"/>
    <w:rsid w:val="003839D5"/>
    <w:rsid w:val="003A491B"/>
    <w:rsid w:val="003B4AD6"/>
    <w:rsid w:val="003D0F0B"/>
    <w:rsid w:val="003D783E"/>
    <w:rsid w:val="003E50F8"/>
    <w:rsid w:val="003F0E93"/>
    <w:rsid w:val="003F21BE"/>
    <w:rsid w:val="00416CEE"/>
    <w:rsid w:val="004357C0"/>
    <w:rsid w:val="00444041"/>
    <w:rsid w:val="004478D1"/>
    <w:rsid w:val="0048512F"/>
    <w:rsid w:val="00494907"/>
    <w:rsid w:val="0049641F"/>
    <w:rsid w:val="00497F12"/>
    <w:rsid w:val="004A2694"/>
    <w:rsid w:val="004C187C"/>
    <w:rsid w:val="004C41EA"/>
    <w:rsid w:val="00532609"/>
    <w:rsid w:val="0053522F"/>
    <w:rsid w:val="00543C3E"/>
    <w:rsid w:val="0054629A"/>
    <w:rsid w:val="00561E96"/>
    <w:rsid w:val="005734F6"/>
    <w:rsid w:val="00583BD8"/>
    <w:rsid w:val="005840EC"/>
    <w:rsid w:val="005B56DE"/>
    <w:rsid w:val="005D0BCC"/>
    <w:rsid w:val="00617AD5"/>
    <w:rsid w:val="00622C84"/>
    <w:rsid w:val="00636423"/>
    <w:rsid w:val="0064458C"/>
    <w:rsid w:val="0064470E"/>
    <w:rsid w:val="00656F33"/>
    <w:rsid w:val="00662A54"/>
    <w:rsid w:val="00674B7B"/>
    <w:rsid w:val="006930CE"/>
    <w:rsid w:val="006B0C44"/>
    <w:rsid w:val="006C0CB2"/>
    <w:rsid w:val="006D3EE1"/>
    <w:rsid w:val="007037A9"/>
    <w:rsid w:val="007061A3"/>
    <w:rsid w:val="0074405D"/>
    <w:rsid w:val="007A68A6"/>
    <w:rsid w:val="007C7876"/>
    <w:rsid w:val="007D08EB"/>
    <w:rsid w:val="007D1D40"/>
    <w:rsid w:val="007D59F1"/>
    <w:rsid w:val="00801781"/>
    <w:rsid w:val="008125EC"/>
    <w:rsid w:val="008169F7"/>
    <w:rsid w:val="008206BD"/>
    <w:rsid w:val="00864986"/>
    <w:rsid w:val="00892514"/>
    <w:rsid w:val="0089584F"/>
    <w:rsid w:val="008A17EF"/>
    <w:rsid w:val="008C5F25"/>
    <w:rsid w:val="008D00F7"/>
    <w:rsid w:val="009055D2"/>
    <w:rsid w:val="0093529A"/>
    <w:rsid w:val="00A02F53"/>
    <w:rsid w:val="00A03C4A"/>
    <w:rsid w:val="00A27FCA"/>
    <w:rsid w:val="00A960AF"/>
    <w:rsid w:val="00AB08AD"/>
    <w:rsid w:val="00AC29F8"/>
    <w:rsid w:val="00AC2FE3"/>
    <w:rsid w:val="00AF2858"/>
    <w:rsid w:val="00B05830"/>
    <w:rsid w:val="00B12DDB"/>
    <w:rsid w:val="00B33C38"/>
    <w:rsid w:val="00B82B5D"/>
    <w:rsid w:val="00BC23DF"/>
    <w:rsid w:val="00BC72EA"/>
    <w:rsid w:val="00BD23F8"/>
    <w:rsid w:val="00BF325F"/>
    <w:rsid w:val="00C05E02"/>
    <w:rsid w:val="00C7203A"/>
    <w:rsid w:val="00CB6775"/>
    <w:rsid w:val="00CE7B89"/>
    <w:rsid w:val="00CF58D1"/>
    <w:rsid w:val="00D242C9"/>
    <w:rsid w:val="00D30E63"/>
    <w:rsid w:val="00D54307"/>
    <w:rsid w:val="00D65BE0"/>
    <w:rsid w:val="00D852CA"/>
    <w:rsid w:val="00D91E47"/>
    <w:rsid w:val="00DA4906"/>
    <w:rsid w:val="00DA6852"/>
    <w:rsid w:val="00DE3475"/>
    <w:rsid w:val="00E032E5"/>
    <w:rsid w:val="00E12DD0"/>
    <w:rsid w:val="00E233D7"/>
    <w:rsid w:val="00E27AF1"/>
    <w:rsid w:val="00E321B1"/>
    <w:rsid w:val="00E412B8"/>
    <w:rsid w:val="00E50C95"/>
    <w:rsid w:val="00E6152D"/>
    <w:rsid w:val="00E6605B"/>
    <w:rsid w:val="00E70EFF"/>
    <w:rsid w:val="00E80180"/>
    <w:rsid w:val="00E85714"/>
    <w:rsid w:val="00E95A4E"/>
    <w:rsid w:val="00EA03E2"/>
    <w:rsid w:val="00EB34B9"/>
    <w:rsid w:val="00EC5ED0"/>
    <w:rsid w:val="00ED6B17"/>
    <w:rsid w:val="00EE1B29"/>
    <w:rsid w:val="00F0448A"/>
    <w:rsid w:val="00F04854"/>
    <w:rsid w:val="00F12DD9"/>
    <w:rsid w:val="00F1392A"/>
    <w:rsid w:val="00F349D1"/>
    <w:rsid w:val="00F70622"/>
    <w:rsid w:val="00F772F5"/>
    <w:rsid w:val="00F96B8B"/>
    <w:rsid w:val="00FC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CBAE"/>
  <w15:chartTrackingRefBased/>
  <w15:docId w15:val="{2268D05C-DD97-F943-8894-C1CF1AD2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A5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A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62A54"/>
  </w:style>
  <w:style w:type="paragraph" w:styleId="Footer">
    <w:name w:val="footer"/>
    <w:basedOn w:val="Normal"/>
    <w:link w:val="FooterChar"/>
    <w:uiPriority w:val="99"/>
    <w:unhideWhenUsed/>
    <w:rsid w:val="00662A5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62A54"/>
  </w:style>
  <w:style w:type="character" w:styleId="PageNumber">
    <w:name w:val="page number"/>
    <w:basedOn w:val="DefaultParagraphFont"/>
    <w:uiPriority w:val="99"/>
    <w:semiHidden/>
    <w:unhideWhenUsed/>
    <w:rsid w:val="00662A54"/>
  </w:style>
  <w:style w:type="character" w:styleId="Hyperlink">
    <w:name w:val="Hyperlink"/>
    <w:basedOn w:val="DefaultParagraphFont"/>
    <w:uiPriority w:val="99"/>
    <w:unhideWhenUsed/>
    <w:rsid w:val="00494907"/>
    <w:rPr>
      <w:color w:val="0563C1" w:themeColor="hyperlink"/>
      <w:u w:val="single"/>
    </w:rPr>
  </w:style>
  <w:style w:type="character" w:styleId="UnresolvedMention">
    <w:name w:val="Unresolved Mention"/>
    <w:basedOn w:val="DefaultParagraphFont"/>
    <w:uiPriority w:val="99"/>
    <w:semiHidden/>
    <w:unhideWhenUsed/>
    <w:rsid w:val="00494907"/>
    <w:rPr>
      <w:color w:val="605E5C"/>
      <w:shd w:val="clear" w:color="auto" w:fill="E1DFDD"/>
    </w:rPr>
  </w:style>
  <w:style w:type="paragraph" w:styleId="Revision">
    <w:name w:val="Revision"/>
    <w:hidden/>
    <w:uiPriority w:val="99"/>
    <w:semiHidden/>
    <w:rsid w:val="00CF58D1"/>
    <w:rPr>
      <w:rFonts w:ascii="Times New Roman" w:eastAsia="Times New Roman" w:hAnsi="Times New Roman" w:cs="Times New Roman"/>
    </w:rPr>
  </w:style>
  <w:style w:type="character" w:customStyle="1" w:styleId="normaltextrun">
    <w:name w:val="normaltextrun"/>
    <w:basedOn w:val="DefaultParagraphFont"/>
    <w:rsid w:val="00E27AF1"/>
  </w:style>
  <w:style w:type="character" w:styleId="FollowedHyperlink">
    <w:name w:val="FollowedHyperlink"/>
    <w:basedOn w:val="DefaultParagraphFont"/>
    <w:uiPriority w:val="99"/>
    <w:semiHidden/>
    <w:unhideWhenUsed/>
    <w:rsid w:val="000D02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393">
      <w:bodyDiv w:val="1"/>
      <w:marLeft w:val="0"/>
      <w:marRight w:val="0"/>
      <w:marTop w:val="0"/>
      <w:marBottom w:val="0"/>
      <w:divBdr>
        <w:top w:val="none" w:sz="0" w:space="0" w:color="auto"/>
        <w:left w:val="none" w:sz="0" w:space="0" w:color="auto"/>
        <w:bottom w:val="none" w:sz="0" w:space="0" w:color="auto"/>
        <w:right w:val="none" w:sz="0" w:space="0" w:color="auto"/>
      </w:divBdr>
    </w:div>
    <w:div w:id="99301604">
      <w:bodyDiv w:val="1"/>
      <w:marLeft w:val="0"/>
      <w:marRight w:val="0"/>
      <w:marTop w:val="0"/>
      <w:marBottom w:val="0"/>
      <w:divBdr>
        <w:top w:val="none" w:sz="0" w:space="0" w:color="auto"/>
        <w:left w:val="none" w:sz="0" w:space="0" w:color="auto"/>
        <w:bottom w:val="none" w:sz="0" w:space="0" w:color="auto"/>
        <w:right w:val="none" w:sz="0" w:space="0" w:color="auto"/>
      </w:divBdr>
    </w:div>
    <w:div w:id="249891137">
      <w:bodyDiv w:val="1"/>
      <w:marLeft w:val="0"/>
      <w:marRight w:val="0"/>
      <w:marTop w:val="0"/>
      <w:marBottom w:val="0"/>
      <w:divBdr>
        <w:top w:val="none" w:sz="0" w:space="0" w:color="auto"/>
        <w:left w:val="none" w:sz="0" w:space="0" w:color="auto"/>
        <w:bottom w:val="none" w:sz="0" w:space="0" w:color="auto"/>
        <w:right w:val="none" w:sz="0" w:space="0" w:color="auto"/>
      </w:divBdr>
    </w:div>
    <w:div w:id="644164071">
      <w:bodyDiv w:val="1"/>
      <w:marLeft w:val="0"/>
      <w:marRight w:val="0"/>
      <w:marTop w:val="0"/>
      <w:marBottom w:val="0"/>
      <w:divBdr>
        <w:top w:val="none" w:sz="0" w:space="0" w:color="auto"/>
        <w:left w:val="none" w:sz="0" w:space="0" w:color="auto"/>
        <w:bottom w:val="none" w:sz="0" w:space="0" w:color="auto"/>
        <w:right w:val="none" w:sz="0" w:space="0" w:color="auto"/>
      </w:divBdr>
    </w:div>
    <w:div w:id="962075545">
      <w:bodyDiv w:val="1"/>
      <w:marLeft w:val="0"/>
      <w:marRight w:val="0"/>
      <w:marTop w:val="0"/>
      <w:marBottom w:val="0"/>
      <w:divBdr>
        <w:top w:val="none" w:sz="0" w:space="0" w:color="auto"/>
        <w:left w:val="none" w:sz="0" w:space="0" w:color="auto"/>
        <w:bottom w:val="none" w:sz="0" w:space="0" w:color="auto"/>
        <w:right w:val="none" w:sz="0" w:space="0" w:color="auto"/>
      </w:divBdr>
      <w:divsChild>
        <w:div w:id="1180775094">
          <w:marLeft w:val="0"/>
          <w:marRight w:val="0"/>
          <w:marTop w:val="0"/>
          <w:marBottom w:val="120"/>
          <w:divBdr>
            <w:top w:val="none" w:sz="0" w:space="0" w:color="auto"/>
            <w:left w:val="none" w:sz="0" w:space="0" w:color="auto"/>
            <w:bottom w:val="none" w:sz="0" w:space="0" w:color="auto"/>
            <w:right w:val="none" w:sz="0" w:space="0" w:color="auto"/>
          </w:divBdr>
        </w:div>
        <w:div w:id="1978298984">
          <w:marLeft w:val="0"/>
          <w:marRight w:val="0"/>
          <w:marTop w:val="0"/>
          <w:marBottom w:val="120"/>
          <w:divBdr>
            <w:top w:val="none" w:sz="0" w:space="0" w:color="auto"/>
            <w:left w:val="none" w:sz="0" w:space="0" w:color="auto"/>
            <w:bottom w:val="none" w:sz="0" w:space="0" w:color="auto"/>
            <w:right w:val="none" w:sz="0" w:space="0" w:color="auto"/>
          </w:divBdr>
        </w:div>
        <w:div w:id="616445042">
          <w:marLeft w:val="0"/>
          <w:marRight w:val="0"/>
          <w:marTop w:val="0"/>
          <w:marBottom w:val="120"/>
          <w:divBdr>
            <w:top w:val="none" w:sz="0" w:space="0" w:color="auto"/>
            <w:left w:val="none" w:sz="0" w:space="0" w:color="auto"/>
            <w:bottom w:val="none" w:sz="0" w:space="0" w:color="auto"/>
            <w:right w:val="none" w:sz="0" w:space="0" w:color="auto"/>
          </w:divBdr>
        </w:div>
        <w:div w:id="2141023814">
          <w:marLeft w:val="0"/>
          <w:marRight w:val="0"/>
          <w:marTop w:val="0"/>
          <w:marBottom w:val="120"/>
          <w:divBdr>
            <w:top w:val="none" w:sz="0" w:space="0" w:color="auto"/>
            <w:left w:val="none" w:sz="0" w:space="0" w:color="auto"/>
            <w:bottom w:val="none" w:sz="0" w:space="0" w:color="auto"/>
            <w:right w:val="none" w:sz="0" w:space="0" w:color="auto"/>
          </w:divBdr>
        </w:div>
        <w:div w:id="563293502">
          <w:marLeft w:val="0"/>
          <w:marRight w:val="0"/>
          <w:marTop w:val="0"/>
          <w:marBottom w:val="120"/>
          <w:divBdr>
            <w:top w:val="none" w:sz="0" w:space="0" w:color="auto"/>
            <w:left w:val="none" w:sz="0" w:space="0" w:color="auto"/>
            <w:bottom w:val="none" w:sz="0" w:space="0" w:color="auto"/>
            <w:right w:val="none" w:sz="0" w:space="0" w:color="auto"/>
          </w:divBdr>
        </w:div>
        <w:div w:id="1260674356">
          <w:marLeft w:val="0"/>
          <w:marRight w:val="0"/>
          <w:marTop w:val="0"/>
          <w:marBottom w:val="240"/>
          <w:divBdr>
            <w:top w:val="none" w:sz="0" w:space="0" w:color="auto"/>
            <w:left w:val="none" w:sz="0" w:space="0" w:color="auto"/>
            <w:bottom w:val="none" w:sz="0" w:space="0" w:color="auto"/>
            <w:right w:val="none" w:sz="0" w:space="0" w:color="auto"/>
          </w:divBdr>
        </w:div>
        <w:div w:id="696079660">
          <w:marLeft w:val="0"/>
          <w:marRight w:val="0"/>
          <w:marTop w:val="0"/>
          <w:marBottom w:val="120"/>
          <w:divBdr>
            <w:top w:val="none" w:sz="0" w:space="0" w:color="auto"/>
            <w:left w:val="none" w:sz="0" w:space="0" w:color="auto"/>
            <w:bottom w:val="none" w:sz="0" w:space="0" w:color="auto"/>
            <w:right w:val="none" w:sz="0" w:space="0" w:color="auto"/>
          </w:divBdr>
        </w:div>
        <w:div w:id="220675170">
          <w:marLeft w:val="0"/>
          <w:marRight w:val="0"/>
          <w:marTop w:val="0"/>
          <w:marBottom w:val="120"/>
          <w:divBdr>
            <w:top w:val="none" w:sz="0" w:space="0" w:color="auto"/>
            <w:left w:val="none" w:sz="0" w:space="0" w:color="auto"/>
            <w:bottom w:val="none" w:sz="0" w:space="0" w:color="auto"/>
            <w:right w:val="none" w:sz="0" w:space="0" w:color="auto"/>
          </w:divBdr>
        </w:div>
        <w:div w:id="196239635">
          <w:marLeft w:val="0"/>
          <w:marRight w:val="0"/>
          <w:marTop w:val="0"/>
          <w:marBottom w:val="240"/>
          <w:divBdr>
            <w:top w:val="none" w:sz="0" w:space="0" w:color="auto"/>
            <w:left w:val="none" w:sz="0" w:space="0" w:color="auto"/>
            <w:bottom w:val="none" w:sz="0" w:space="0" w:color="auto"/>
            <w:right w:val="none" w:sz="0" w:space="0" w:color="auto"/>
          </w:divBdr>
        </w:div>
      </w:divsChild>
    </w:div>
    <w:div w:id="1159004494">
      <w:bodyDiv w:val="1"/>
      <w:marLeft w:val="0"/>
      <w:marRight w:val="0"/>
      <w:marTop w:val="0"/>
      <w:marBottom w:val="0"/>
      <w:divBdr>
        <w:top w:val="none" w:sz="0" w:space="0" w:color="auto"/>
        <w:left w:val="none" w:sz="0" w:space="0" w:color="auto"/>
        <w:bottom w:val="none" w:sz="0" w:space="0" w:color="auto"/>
        <w:right w:val="none" w:sz="0" w:space="0" w:color="auto"/>
      </w:divBdr>
      <w:divsChild>
        <w:div w:id="100997744">
          <w:marLeft w:val="0"/>
          <w:marRight w:val="0"/>
          <w:marTop w:val="0"/>
          <w:marBottom w:val="0"/>
          <w:divBdr>
            <w:top w:val="none" w:sz="0" w:space="0" w:color="auto"/>
            <w:left w:val="none" w:sz="0" w:space="0" w:color="auto"/>
            <w:bottom w:val="none" w:sz="0" w:space="0" w:color="auto"/>
            <w:right w:val="none" w:sz="0" w:space="0" w:color="auto"/>
          </w:divBdr>
          <w:divsChild>
            <w:div w:id="5444169">
              <w:marLeft w:val="0"/>
              <w:marRight w:val="0"/>
              <w:marTop w:val="0"/>
              <w:marBottom w:val="0"/>
              <w:divBdr>
                <w:top w:val="none" w:sz="0" w:space="0" w:color="auto"/>
                <w:left w:val="none" w:sz="0" w:space="0" w:color="auto"/>
                <w:bottom w:val="none" w:sz="0" w:space="0" w:color="auto"/>
                <w:right w:val="none" w:sz="0" w:space="0" w:color="auto"/>
              </w:divBdr>
              <w:divsChild>
                <w:div w:id="1445735490">
                  <w:marLeft w:val="0"/>
                  <w:marRight w:val="0"/>
                  <w:marTop w:val="0"/>
                  <w:marBottom w:val="0"/>
                  <w:divBdr>
                    <w:top w:val="none" w:sz="0" w:space="0" w:color="auto"/>
                    <w:left w:val="none" w:sz="0" w:space="0" w:color="auto"/>
                    <w:bottom w:val="none" w:sz="0" w:space="0" w:color="auto"/>
                    <w:right w:val="none" w:sz="0" w:space="0" w:color="auto"/>
                  </w:divBdr>
                  <w:divsChild>
                    <w:div w:id="20839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838197">
      <w:bodyDiv w:val="1"/>
      <w:marLeft w:val="0"/>
      <w:marRight w:val="0"/>
      <w:marTop w:val="0"/>
      <w:marBottom w:val="0"/>
      <w:divBdr>
        <w:top w:val="none" w:sz="0" w:space="0" w:color="auto"/>
        <w:left w:val="none" w:sz="0" w:space="0" w:color="auto"/>
        <w:bottom w:val="none" w:sz="0" w:space="0" w:color="auto"/>
        <w:right w:val="none" w:sz="0" w:space="0" w:color="auto"/>
      </w:divBdr>
    </w:div>
    <w:div w:id="1684436090">
      <w:bodyDiv w:val="1"/>
      <w:marLeft w:val="0"/>
      <w:marRight w:val="0"/>
      <w:marTop w:val="0"/>
      <w:marBottom w:val="0"/>
      <w:divBdr>
        <w:top w:val="none" w:sz="0" w:space="0" w:color="auto"/>
        <w:left w:val="none" w:sz="0" w:space="0" w:color="auto"/>
        <w:bottom w:val="none" w:sz="0" w:space="0" w:color="auto"/>
        <w:right w:val="none" w:sz="0" w:space="0" w:color="auto"/>
      </w:divBdr>
    </w:div>
    <w:div w:id="2133865423">
      <w:bodyDiv w:val="1"/>
      <w:marLeft w:val="0"/>
      <w:marRight w:val="0"/>
      <w:marTop w:val="0"/>
      <w:marBottom w:val="0"/>
      <w:divBdr>
        <w:top w:val="none" w:sz="0" w:space="0" w:color="auto"/>
        <w:left w:val="none" w:sz="0" w:space="0" w:color="auto"/>
        <w:bottom w:val="none" w:sz="0" w:space="0" w:color="auto"/>
        <w:right w:val="none" w:sz="0" w:space="0" w:color="auto"/>
      </w:divBdr>
      <w:divsChild>
        <w:div w:id="208995915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14402968035001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Users/ASPIRE/Desktop/Portfolio%20II/%09https:/doi.org/10.3102/00028312032003465&#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3585-EAD8-4546-8FC9-B0755584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2102</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Rebecca Williams</dc:creator>
  <cp:keywords/>
  <dc:description/>
  <cp:lastModifiedBy>Kia Rebecca Williams</cp:lastModifiedBy>
  <cp:revision>2</cp:revision>
  <cp:lastPrinted>2023-02-04T21:37:00Z</cp:lastPrinted>
  <dcterms:created xsi:type="dcterms:W3CDTF">2023-02-05T04:29:00Z</dcterms:created>
  <dcterms:modified xsi:type="dcterms:W3CDTF">2023-02-05T04:29:00Z</dcterms:modified>
</cp:coreProperties>
</file>