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137C" w:rsidRDefault="0030137C" w14:paraId="775FCE3A" w14:textId="77777777">
      <w:pPr>
        <w:spacing w:line="480" w:lineRule="auto"/>
        <w:ind w:firstLine="720"/>
        <w:jc w:val="center"/>
        <w:rPr>
          <w:b/>
        </w:rPr>
      </w:pPr>
    </w:p>
    <w:p w:rsidR="0030137C" w:rsidRDefault="0030137C" w14:paraId="31778939" w14:textId="77777777">
      <w:pPr>
        <w:spacing w:line="480" w:lineRule="auto"/>
        <w:ind w:firstLine="720"/>
        <w:jc w:val="center"/>
        <w:rPr>
          <w:b/>
        </w:rPr>
      </w:pPr>
    </w:p>
    <w:p w:rsidR="0030137C" w:rsidRDefault="0030137C" w14:paraId="51D816D0" w14:textId="77777777">
      <w:pPr>
        <w:spacing w:line="480" w:lineRule="auto"/>
        <w:ind w:firstLine="720"/>
        <w:jc w:val="center"/>
        <w:rPr>
          <w:b/>
        </w:rPr>
      </w:pPr>
    </w:p>
    <w:p w:rsidR="0030137C" w:rsidRDefault="0030137C" w14:paraId="69F011DC" w14:textId="77777777">
      <w:pPr>
        <w:spacing w:line="480" w:lineRule="auto"/>
        <w:ind w:firstLine="720"/>
        <w:jc w:val="center"/>
        <w:rPr>
          <w:b/>
        </w:rPr>
      </w:pPr>
    </w:p>
    <w:p w:rsidR="0030137C" w:rsidRDefault="0030137C" w14:paraId="39EA1F21" w14:textId="77777777">
      <w:pPr>
        <w:spacing w:line="480" w:lineRule="auto"/>
        <w:ind w:firstLine="720"/>
        <w:jc w:val="center"/>
        <w:rPr>
          <w:b/>
        </w:rPr>
      </w:pPr>
    </w:p>
    <w:p w:rsidR="0030137C" w:rsidRDefault="0030137C" w14:paraId="65B918A4" w14:textId="77777777">
      <w:pPr>
        <w:spacing w:line="480" w:lineRule="auto"/>
        <w:ind w:firstLine="720"/>
        <w:jc w:val="center"/>
        <w:rPr>
          <w:b/>
        </w:rPr>
      </w:pPr>
    </w:p>
    <w:p w:rsidR="0030137C" w:rsidRDefault="0030137C" w14:paraId="08F33BC0" w14:textId="77777777">
      <w:pPr>
        <w:spacing w:line="480" w:lineRule="auto"/>
        <w:ind w:firstLine="720"/>
        <w:jc w:val="center"/>
        <w:rPr>
          <w:b/>
        </w:rPr>
      </w:pPr>
    </w:p>
    <w:p w:rsidR="0030137C" w:rsidRDefault="0030137C" w14:paraId="7647E500" w14:textId="77777777">
      <w:pPr>
        <w:spacing w:line="480" w:lineRule="auto"/>
        <w:ind w:firstLine="720"/>
        <w:jc w:val="center"/>
        <w:rPr>
          <w:b/>
        </w:rPr>
      </w:pPr>
    </w:p>
    <w:p w:rsidR="0030137C" w:rsidRDefault="00C96126" w14:paraId="3F29304E" w14:textId="77777777">
      <w:pPr>
        <w:spacing w:line="480" w:lineRule="auto"/>
        <w:jc w:val="center"/>
        <w:rPr>
          <w:b/>
        </w:rPr>
      </w:pPr>
      <w:r>
        <w:rPr>
          <w:b/>
        </w:rPr>
        <w:t>Portfolio III: Analytic Personal and Professional Essay</w:t>
      </w:r>
    </w:p>
    <w:p w:rsidR="0030137C" w:rsidRDefault="00C96126" w14:paraId="2A2EEB31" w14:textId="77777777">
      <w:pPr>
        <w:spacing w:line="480" w:lineRule="auto"/>
        <w:jc w:val="center"/>
      </w:pPr>
      <w:r>
        <w:t>Kia Felder Williams</w:t>
      </w:r>
    </w:p>
    <w:p w:rsidR="0030137C" w:rsidRDefault="00C96126" w14:paraId="65017BE2" w14:textId="49ACF012">
      <w:pPr>
        <w:spacing w:line="480" w:lineRule="auto"/>
        <w:jc w:val="center"/>
      </w:pPr>
      <w:r w:rsidR="00C96126">
        <w:rPr/>
        <w:t>Dr. Joy Banks, Dr. Anya Evmenova, and Dr. Kell</w:t>
      </w:r>
      <w:r w:rsidR="16DC146C">
        <w:rPr/>
        <w:t>e</w:t>
      </w:r>
      <w:r w:rsidR="00C96126">
        <w:rPr/>
        <w:t>y Regan</w:t>
      </w:r>
    </w:p>
    <w:p w:rsidR="0030137C" w:rsidRDefault="00C96126" w14:paraId="04FA7914" w14:textId="77777777">
      <w:pPr>
        <w:spacing w:line="480" w:lineRule="auto"/>
        <w:jc w:val="center"/>
      </w:pPr>
      <w:r>
        <w:t>George Mason University</w:t>
      </w:r>
    </w:p>
    <w:p w:rsidR="00A15555" w:rsidRDefault="00A15555" w14:paraId="18039DEE" w14:textId="62143C70">
      <w:pPr>
        <w:spacing w:line="480" w:lineRule="auto"/>
        <w:jc w:val="center"/>
      </w:pPr>
      <w:r>
        <w:t>January 15, 2024</w:t>
      </w:r>
    </w:p>
    <w:p w:rsidR="0030137C" w:rsidP="008921DA" w:rsidRDefault="00A15555" w14:paraId="4037A1C7" w14:textId="7240E113">
      <w:r>
        <w:br w:type="page"/>
      </w:r>
    </w:p>
    <w:p w:rsidR="0030137C" w:rsidP="008921DA" w:rsidRDefault="00C96126" w14:paraId="22D8E7C0" w14:textId="77777777">
      <w:pPr>
        <w:spacing w:line="480" w:lineRule="auto"/>
        <w:jc w:val="center"/>
        <w:rPr>
          <w:b/>
        </w:rPr>
      </w:pPr>
      <w:r>
        <w:rPr>
          <w:b/>
        </w:rPr>
        <w:lastRenderedPageBreak/>
        <w:t>ANALYTIC PERSONAL AND PROFESSIONAL ESSAY</w:t>
      </w:r>
    </w:p>
    <w:p w:rsidR="007926BD" w:rsidP="3757822D" w:rsidRDefault="00C96126" w14:paraId="40E6F9D9" w14:textId="275E996F">
      <w:pPr>
        <w:spacing w:line="480" w:lineRule="auto"/>
        <w:ind w:firstLine="720"/>
      </w:pPr>
      <w:r>
        <w:t>Since Portfolio II, I have continued to engage in my professional community</w:t>
      </w:r>
      <w:r w:rsidR="005C6132">
        <w:t xml:space="preserve">. I have served as a </w:t>
      </w:r>
      <w:r w:rsidR="436E6FC4">
        <w:t>special educator</w:t>
      </w:r>
      <w:r>
        <w:t xml:space="preserve"> </w:t>
      </w:r>
      <w:r w:rsidR="005C6132">
        <w:t>in</w:t>
      </w:r>
      <w:r>
        <w:t xml:space="preserve"> Prince George’s County Public Schools (PGCPS</w:t>
      </w:r>
      <w:r w:rsidR="00E547D6">
        <w:t>) and</w:t>
      </w:r>
      <w:r w:rsidR="5D3C85B1">
        <w:t xml:space="preserve"> provided professional development in culturally responsive classroom management and adapted behavioral interventions.</w:t>
      </w:r>
      <w:r w:rsidR="005C6132">
        <w:t xml:space="preserve"> </w:t>
      </w:r>
      <w:r w:rsidR="1781557F">
        <w:t>As a professional development facilitator, I established a Professional Learning Community (PLC) for novice educators with 1-5 years of experience.</w:t>
      </w:r>
      <w:r w:rsidR="005C6132">
        <w:t xml:space="preserve"> The focus of the PLC </w:t>
      </w:r>
      <w:r w:rsidR="007926BD">
        <w:t>i</w:t>
      </w:r>
      <w:r w:rsidR="005C6132">
        <w:t>s to support novice teachers</w:t>
      </w:r>
      <w:r>
        <w:t xml:space="preserve"> </w:t>
      </w:r>
      <w:r w:rsidR="1350F7C9">
        <w:t xml:space="preserve">in </w:t>
      </w:r>
      <w:r w:rsidR="007926BD">
        <w:t xml:space="preserve">increasing their self-efficacy as </w:t>
      </w:r>
      <w:r>
        <w:t xml:space="preserve">culturally responsive educators and employ a culturally responsive classroom management framework. </w:t>
      </w:r>
    </w:p>
    <w:p w:rsidRPr="00E547D6" w:rsidR="00E547D6" w:rsidP="007926BD" w:rsidRDefault="1029729E" w14:paraId="39F49C49" w14:textId="7C23D73F">
      <w:pPr>
        <w:spacing w:line="480" w:lineRule="auto"/>
        <w:ind w:firstLine="720"/>
      </w:pPr>
      <w:r>
        <w:t>While working on an independent study the Summer of 2023, a Culturally Responsive Classroom Management Self Efficacy (CRCMSE) survey (Siwatu, 1997) was distributed to examine the CRCM self-efficacy/readiness of PGCPS novice educators.</w:t>
      </w:r>
      <w:r w:rsidR="7CA62CC2">
        <w:t xml:space="preserve"> The CRCMSE Scale was developed based on two different theories, CRCM and social cognitive theory. With schools and classrooms becoming increasingly diverse, research has not addressed issues germane to students from a variety of cultural and linguistic backgrounds (Weinstein et al., 2004). The current research on educator agency, self-efficacy, perceived support, and strategies to prepare educators for work with diverse learners must continue. A lack of teacher preparation continues to exacerbate issues of behavior management and discipline. </w:t>
      </w:r>
      <w:r w:rsidR="308CAD1E">
        <w:t>Teachers expressing ill-preparedness for working with diverse populations may experience increased anxiety when teaching in classrooms with students from various cultures and languages (Milner, 2008).</w:t>
      </w:r>
      <w:r w:rsidR="7CA62CC2">
        <w:t> </w:t>
      </w:r>
    </w:p>
    <w:p w:rsidR="00E547D6" w:rsidP="0D03A42B" w:rsidRDefault="7CEFF478" w14:paraId="7412EF2D" w14:textId="549370BA">
      <w:pPr>
        <w:spacing w:line="480" w:lineRule="auto"/>
        <w:ind w:firstLine="720"/>
      </w:pPr>
      <w:r w:rsidR="7CEFF478">
        <w:rPr/>
        <w:t>The CMCRSE</w:t>
      </w:r>
      <w:r w:rsidR="48F82853">
        <w:rPr/>
        <w:t xml:space="preserve"> </w:t>
      </w:r>
      <w:r w:rsidR="7CEFF478">
        <w:rPr/>
        <w:t>scale</w:t>
      </w:r>
      <w:r w:rsidR="48F82853">
        <w:rPr/>
        <w:t xml:space="preserve"> was</w:t>
      </w:r>
      <w:r w:rsidR="7CEFF478">
        <w:rPr/>
        <w:t xml:space="preserve"> used as the tool to assess pre-service teachers’ CMCRSE beliefs</w:t>
      </w:r>
      <w:r w:rsidR="48F82853">
        <w:rPr/>
        <w:t>,</w:t>
      </w:r>
      <w:r w:rsidR="7CEFF478">
        <w:rPr/>
        <w:t xml:space="preserve"> and design interventions to increase their knowledge, skills, disposition, and self-efficacy beliefs. Siwatu (2017) built this original scale on the underpinnings of Bandura’s (</w:t>
      </w:r>
      <w:r w:rsidR="7CEFF478">
        <w:rPr/>
        <w:t>1997</w:t>
      </w:r>
      <w:r w:rsidR="7CEFF478">
        <w:rPr/>
        <w:t>) professional development conceptual framework.</w:t>
      </w:r>
      <w:r w:rsidR="4A6F3D33">
        <w:rPr/>
        <w:t xml:space="preserve"> </w:t>
      </w:r>
      <w:r w:rsidR="7CEFF478">
        <w:rPr/>
        <w:t xml:space="preserve">This data collection on </w:t>
      </w:r>
      <w:r w:rsidR="2CCDBCC6">
        <w:rPr/>
        <w:t xml:space="preserve">40 </w:t>
      </w:r>
      <w:r w:rsidR="7CEFF478">
        <w:rPr/>
        <w:t xml:space="preserve">preservice teachers was used as a diagnostic measure to </w:t>
      </w:r>
      <w:r w:rsidR="7CEFF478">
        <w:rPr/>
        <w:t>identify</w:t>
      </w:r>
      <w:r w:rsidR="7CEFF478">
        <w:rPr/>
        <w:t xml:space="preserve"> tasks </w:t>
      </w:r>
      <w:r w:rsidR="48F82853">
        <w:rPr/>
        <w:t xml:space="preserve">that </w:t>
      </w:r>
      <w:r w:rsidR="7CEFF478">
        <w:rPr/>
        <w:t xml:space="preserve">educators were most efficacious and least efficacious implementing. Using a </w:t>
      </w:r>
      <w:r w:rsidR="473E1E8A">
        <w:rPr/>
        <w:t>Likert</w:t>
      </w:r>
      <w:r w:rsidR="7CEFF478">
        <w:rPr/>
        <w:t xml:space="preserve"> scale, responses equated to </w:t>
      </w:r>
      <w:r w:rsidRPr="33BB72CD" w:rsidR="7CEFF478">
        <w:rPr>
          <w:i w:val="1"/>
          <w:iCs w:val="1"/>
        </w:rPr>
        <w:t>completely confident</w:t>
      </w:r>
      <w:r w:rsidR="7CEFF478">
        <w:rPr/>
        <w:t xml:space="preserve">, </w:t>
      </w:r>
      <w:r w:rsidRPr="33BB72CD" w:rsidR="7CEFF478">
        <w:rPr>
          <w:i w:val="1"/>
          <w:iCs w:val="1"/>
        </w:rPr>
        <w:t>moderately confident</w:t>
      </w:r>
      <w:r w:rsidR="7CEFF478">
        <w:rPr/>
        <w:t xml:space="preserve">, and </w:t>
      </w:r>
      <w:r w:rsidRPr="33BB72CD" w:rsidR="7CEFF478">
        <w:rPr>
          <w:i w:val="1"/>
          <w:iCs w:val="1"/>
        </w:rPr>
        <w:t xml:space="preserve">not confident at </w:t>
      </w:r>
      <w:r w:rsidRPr="33BB72CD" w:rsidR="7CEFF478">
        <w:rPr>
          <w:i w:val="1"/>
          <w:iCs w:val="1"/>
        </w:rPr>
        <w:t>all</w:t>
      </w:r>
      <w:r w:rsidR="4A6F3D33">
        <w:rPr/>
        <w:t xml:space="preserve"> across</w:t>
      </w:r>
      <w:r w:rsidR="4A6F3D33">
        <w:rPr/>
        <w:t xml:space="preserve"> 35 reflexive questions</w:t>
      </w:r>
      <w:r w:rsidR="7CEFF478">
        <w:rPr/>
        <w:t xml:space="preserve">. The data was </w:t>
      </w:r>
      <w:r w:rsidR="4A6F3D33">
        <w:rPr/>
        <w:t xml:space="preserve">analyzed and </w:t>
      </w:r>
      <w:r w:rsidR="026A81D1">
        <w:rPr/>
        <w:t>th</w:t>
      </w:r>
      <w:r w:rsidR="7210ADF6">
        <w:rPr/>
        <w:t>e</w:t>
      </w:r>
      <w:r w:rsidR="026A81D1">
        <w:rPr/>
        <w:t xml:space="preserve"> strength index </w:t>
      </w:r>
      <w:r w:rsidR="3932D4C7">
        <w:rPr/>
        <w:t xml:space="preserve">and mean (Appendix </w:t>
      </w:r>
      <w:r w:rsidR="1BC87028">
        <w:rPr/>
        <w:t>1</w:t>
      </w:r>
      <w:r w:rsidR="5F750CE3">
        <w:rPr/>
        <w:t>) were</w:t>
      </w:r>
      <w:r w:rsidR="026A81D1">
        <w:rPr/>
        <w:t xml:space="preserve"> calculated</w:t>
      </w:r>
      <w:r w:rsidR="48F82853">
        <w:rPr/>
        <w:t>.</w:t>
      </w:r>
      <w:r w:rsidR="026A81D1">
        <w:rPr/>
        <w:t xml:space="preserve"> </w:t>
      </w:r>
      <w:r w:rsidR="48F82853">
        <w:rPr/>
        <w:t>F</w:t>
      </w:r>
      <w:r w:rsidR="026A81D1">
        <w:rPr/>
        <w:t xml:space="preserve">ollow up interviews were </w:t>
      </w:r>
      <w:r w:rsidR="7CEFF478">
        <w:rPr/>
        <w:t>coded for emergent theme</w:t>
      </w:r>
      <w:r w:rsidR="026A81D1">
        <w:rPr/>
        <w:t>s</w:t>
      </w:r>
      <w:r w:rsidR="7CEFF478">
        <w:rPr/>
        <w:t xml:space="preserve">. </w:t>
      </w:r>
      <w:r w:rsidR="026A81D1">
        <w:rPr/>
        <w:t xml:space="preserve">The self-efficacy strength index </w:t>
      </w:r>
      <w:r w:rsidR="48F82853">
        <w:rPr/>
        <w:t>wa</w:t>
      </w:r>
      <w:r w:rsidR="026A81D1">
        <w:rPr/>
        <w:t>s calculated by taking the</w:t>
      </w:r>
      <w:r w:rsidR="48F82853">
        <w:rPr/>
        <w:t xml:space="preserve"> respondents (R)</w:t>
      </w:r>
      <w:r w:rsidR="026A81D1">
        <w:rPr/>
        <w:t xml:space="preserve"> total score and dividing it by the number of items on the self-efficacy measure</w:t>
      </w:r>
      <w:r w:rsidR="1741BE5C">
        <w:rPr/>
        <w:t>.</w:t>
      </w:r>
      <w:r w:rsidR="48F82853">
        <w:rPr/>
        <w:t xml:space="preserve"> This measure </w:t>
      </w:r>
      <w:r w:rsidR="48F82853">
        <w:rPr/>
        <w:t>indicates</w:t>
      </w:r>
      <w:r w:rsidR="48F82853">
        <w:rPr/>
        <w:t xml:space="preserve"> the strength of each teacher’s </w:t>
      </w:r>
      <w:r w:rsidR="58F654D7">
        <w:rPr/>
        <w:t>beliefs</w:t>
      </w:r>
      <w:r w:rsidR="48F82853">
        <w:rPr/>
        <w:t xml:space="preserve"> </w:t>
      </w:r>
      <w:r w:rsidR="129F77C9">
        <w:rPr/>
        <w:t xml:space="preserve">across </w:t>
      </w:r>
      <w:r w:rsidR="48F82853">
        <w:rPr/>
        <w:t xml:space="preserve">the measured domain. </w:t>
      </w:r>
    </w:p>
    <w:p w:rsidRPr="00E547D6" w:rsidR="00E547D6" w:rsidP="19947A6B" w:rsidRDefault="7CA62CC2" w14:paraId="26B9228B" w14:textId="65F80FBA">
      <w:pPr>
        <w:spacing w:line="480" w:lineRule="auto"/>
        <w:ind w:firstLine="720"/>
      </w:pPr>
      <w:r>
        <w:t>Teachers' failure to understand how culture contributes to behavior and the role of culture in teaching and learning is believed to have contributed to trends such as differential discipline administration. In response to these trends and disparities, Weinstein et al. (2004) called for the implementation of CRCM practices. She identified five essential components of culturally responsive classroom management (CRCM):  </w:t>
      </w:r>
    </w:p>
    <w:p w:rsidRPr="00E547D6" w:rsidR="00E547D6" w:rsidP="008921DA" w:rsidRDefault="00E547D6" w14:paraId="276EF169" w14:textId="77777777">
      <w:pPr>
        <w:numPr>
          <w:ilvl w:val="0"/>
          <w:numId w:val="2"/>
        </w:numPr>
        <w:spacing w:line="360" w:lineRule="auto"/>
      </w:pPr>
      <w:r w:rsidRPr="00E547D6">
        <w:t>recognition of one’s own ethnocentrism and biases; </w:t>
      </w:r>
    </w:p>
    <w:p w:rsidRPr="00E547D6" w:rsidR="00E547D6" w:rsidP="008921DA" w:rsidRDefault="00E547D6" w14:paraId="6630047C" w14:textId="77777777">
      <w:pPr>
        <w:numPr>
          <w:ilvl w:val="0"/>
          <w:numId w:val="2"/>
        </w:numPr>
        <w:spacing w:line="360" w:lineRule="auto"/>
      </w:pPr>
      <w:r w:rsidRPr="00E547D6">
        <w:t>knowledge of students’ cultural backgrounds;  </w:t>
      </w:r>
    </w:p>
    <w:p w:rsidRPr="00E547D6" w:rsidR="00E547D6" w:rsidP="008921DA" w:rsidRDefault="00E547D6" w14:paraId="5B2903DA" w14:textId="77777777">
      <w:pPr>
        <w:numPr>
          <w:ilvl w:val="0"/>
          <w:numId w:val="2"/>
        </w:numPr>
        <w:spacing w:line="360" w:lineRule="auto"/>
      </w:pPr>
      <w:r w:rsidRPr="00E547D6">
        <w:t>understanding the broader social, economic, and political context of our educational system; </w:t>
      </w:r>
    </w:p>
    <w:p w:rsidRPr="00E547D6" w:rsidR="00E547D6" w:rsidP="008921DA" w:rsidRDefault="00E547D6" w14:paraId="4F85B73C" w14:textId="77777777">
      <w:pPr>
        <w:numPr>
          <w:ilvl w:val="0"/>
          <w:numId w:val="2"/>
        </w:numPr>
        <w:spacing w:line="360" w:lineRule="auto"/>
      </w:pPr>
      <w:r w:rsidRPr="00E547D6">
        <w:t>the ability and willingness to use culturally appropriate classroom management strategies; and;  </w:t>
      </w:r>
    </w:p>
    <w:p w:rsidRPr="00E547D6" w:rsidR="00E547D6" w:rsidP="008921DA" w:rsidRDefault="00E547D6" w14:paraId="5F7DDB40" w14:textId="119DC342">
      <w:pPr>
        <w:numPr>
          <w:ilvl w:val="0"/>
          <w:numId w:val="2"/>
        </w:numPr>
        <w:spacing w:line="360" w:lineRule="auto"/>
      </w:pPr>
      <w:r w:rsidRPr="00E547D6">
        <w:t>a commitment to building caring classroom communities. </w:t>
      </w:r>
    </w:p>
    <w:p w:rsidRPr="00E547D6" w:rsidR="00E547D6" w:rsidP="008921DA" w:rsidRDefault="00E547D6" w14:paraId="11E1B3FE" w14:textId="6B24530F">
      <w:pPr>
        <w:spacing w:line="360" w:lineRule="auto"/>
        <w:ind w:firstLine="720"/>
      </w:pPr>
      <w:r w:rsidRPr="00E547D6">
        <w:t xml:space="preserve">More than strategies recommended in classroom-management literature are required to create a safe and productive learning environment for diverse student populations. Safe classroom environments require drawing from literature on culturally responsive classroom management, psychologically supportive classroom environments, and building trust and resilience (Bondy et al, 2007). </w:t>
      </w:r>
    </w:p>
    <w:p w:rsidRPr="00E547D6" w:rsidR="00E547D6" w:rsidP="00B76E5B" w:rsidRDefault="00E547D6" w14:paraId="41C5CCEF" w14:textId="6730002B">
      <w:pPr>
        <w:spacing w:line="480" w:lineRule="auto"/>
        <w:ind w:firstLine="720"/>
      </w:pPr>
      <w:r w:rsidR="00E547D6">
        <w:rPr/>
        <w:t>The data analysis consist</w:t>
      </w:r>
      <w:r w:rsidR="002F301E">
        <w:rPr/>
        <w:t>ed</w:t>
      </w:r>
      <w:r w:rsidR="00E547D6">
        <w:rPr/>
        <w:t xml:space="preserve"> of four steps: (1) an analysis of descriptive/psychometric characteristics of the respondents; (2) a strength index (Bandura, </w:t>
      </w:r>
      <w:r w:rsidR="00E547D6">
        <w:rPr/>
        <w:t>1997</w:t>
      </w:r>
      <w:r w:rsidR="00E547D6">
        <w:rPr/>
        <w:t xml:space="preserve">) will be calculated (Total points / # of questions.); (3) item specific responses will be analyzed; (4) global scores will be analyzed (adding up the scores for each item to generate a total score). Self-efficacy strength index scores are less commonly seen in published teacher self-efficacy studies, but this index </w:t>
      </w:r>
      <w:r w:rsidR="00E547D6">
        <w:rPr/>
        <w:t>indicates</w:t>
      </w:r>
      <w:r w:rsidR="00E547D6">
        <w:rPr/>
        <w:t xml:space="preserve"> the strength of each teacher’s self-efficacy beliefs with a measured domain. The index is also easily calculated and interpreted. Like global scores, the strength index </w:t>
      </w:r>
      <w:r w:rsidR="00E547D6">
        <w:rPr/>
        <w:t>fails to</w:t>
      </w:r>
      <w:r w:rsidR="00E547D6">
        <w:rPr/>
        <w:t xml:space="preserve"> </w:t>
      </w:r>
      <w:r w:rsidR="00E547D6">
        <w:rPr/>
        <w:t>identify</w:t>
      </w:r>
      <w:r w:rsidR="00E547D6">
        <w:rPr/>
        <w:t xml:space="preserve"> tasks that teachers are not confident in, so item specific scores are a critical focus in this analysis. </w:t>
      </w:r>
    </w:p>
    <w:p w:rsidR="000E431C" w:rsidP="3757822D" w:rsidRDefault="00B32D2C" w14:paraId="0D36B522" w14:textId="491CFC01">
      <w:pPr>
        <w:spacing w:line="480" w:lineRule="auto"/>
        <w:ind w:firstLine="720"/>
      </w:pPr>
      <w:r>
        <w:t>The respondents generated culturally responsive self</w:t>
      </w:r>
      <w:r w:rsidR="008921DA">
        <w:t>-</w:t>
      </w:r>
      <w:r>
        <w:t xml:space="preserve">efficacy scores between 56-99. Scores below </w:t>
      </w:r>
      <w:r w:rsidR="00CC4C56">
        <w:t xml:space="preserve">70 </w:t>
      </w:r>
      <w:r>
        <w:t>indicate</w:t>
      </w:r>
      <w:r w:rsidR="008921DA">
        <w:t>d</w:t>
      </w:r>
      <w:r>
        <w:t xml:space="preserve"> that the respondent </w:t>
      </w:r>
      <w:r w:rsidR="00CC4C56">
        <w:t>had a low strength index and low</w:t>
      </w:r>
      <w:r>
        <w:t xml:space="preserve"> culturally responsive self-efficacy</w:t>
      </w:r>
      <w:r w:rsidR="00D37941">
        <w:t xml:space="preserve"> (</w:t>
      </w:r>
      <w:r w:rsidR="00D37941">
        <w:rPr>
          <w:i/>
          <w:iCs/>
        </w:rPr>
        <w:t>Table 1)</w:t>
      </w:r>
      <w:r>
        <w:t>.</w:t>
      </w:r>
      <w:r w:rsidR="000E431C">
        <w:t xml:space="preserve"> </w:t>
      </w:r>
    </w:p>
    <w:p w:rsidR="00A92E0E" w:rsidP="008921DA" w:rsidRDefault="000E431C" w14:paraId="0516635E" w14:textId="56ECE154">
      <w:pPr>
        <w:spacing w:line="480" w:lineRule="auto"/>
        <w:ind w:firstLine="720"/>
      </w:pPr>
      <w:r w:rsidR="000E431C">
        <w:rPr/>
        <w:t>Afterward</w:t>
      </w:r>
      <w:r w:rsidR="495608B8">
        <w:rPr/>
        <w:t xml:space="preserve">, </w:t>
      </w:r>
      <w:r w:rsidR="000E431C">
        <w:rPr/>
        <w:t xml:space="preserve"> </w:t>
      </w:r>
      <w:r w:rsidR="00A15555">
        <w:rPr/>
        <w:t>s</w:t>
      </w:r>
      <w:r w:rsidR="356B1A02">
        <w:rPr/>
        <w:t xml:space="preserve">everal </w:t>
      </w:r>
      <w:r w:rsidR="00C96126">
        <w:rPr/>
        <w:t xml:space="preserve">respondents of the </w:t>
      </w:r>
      <w:hyperlink r:id="R7182f77775334e03">
        <w:r w:rsidRPr="726FEA4D" w:rsidR="00C96126">
          <w:rPr>
            <w:color w:val="1155CC"/>
            <w:u w:val="single"/>
          </w:rPr>
          <w:t>Culturally Responsive Classroom Management survey</w:t>
        </w:r>
      </w:hyperlink>
      <w:r w:rsidR="00C96126">
        <w:rPr/>
        <w:t xml:space="preserve"> </w:t>
      </w:r>
      <w:r w:rsidR="00C96126">
        <w:rPr/>
        <w:t>indicated</w:t>
      </w:r>
      <w:r w:rsidR="00C96126">
        <w:rPr/>
        <w:t xml:space="preserve"> </w:t>
      </w:r>
      <w:r w:rsidR="5F2CA840">
        <w:rPr/>
        <w:t>that they</w:t>
      </w:r>
      <w:r w:rsidR="00C96126">
        <w:rPr/>
        <w:t xml:space="preserve"> were interested in becoming part of a PLC for </w:t>
      </w:r>
      <w:hyperlink r:id="Rbc5b8fbac0e24957">
        <w:r w:rsidRPr="726FEA4D" w:rsidR="00C96126">
          <w:rPr>
            <w:rStyle w:val="Hyperlink"/>
          </w:rPr>
          <w:t>culturally responsive educators</w:t>
        </w:r>
      </w:hyperlink>
      <w:r w:rsidR="00C96126">
        <w:rPr/>
        <w:t xml:space="preserve">. </w:t>
      </w:r>
      <w:r w:rsidR="3FC84ECF">
        <w:rPr/>
        <w:t xml:space="preserve">Seven educators </w:t>
      </w:r>
      <w:r w:rsidR="00C96126">
        <w:rPr/>
        <w:t>indicated</w:t>
      </w:r>
      <w:r w:rsidR="00C96126">
        <w:rPr/>
        <w:t xml:space="preserve"> their desire to join a community that support</w:t>
      </w:r>
      <w:r w:rsidR="00CC4C56">
        <w:rPr/>
        <w:t>s</w:t>
      </w:r>
      <w:r w:rsidR="00C96126">
        <w:rPr/>
        <w:t xml:space="preserve"> culturally responsive practices in elementary and secondary education in the PGCPS system. </w:t>
      </w:r>
      <w:r w:rsidR="008921DA">
        <w:rPr/>
        <w:t xml:space="preserve">Those respondents have become active members </w:t>
      </w:r>
      <w:r w:rsidR="49F08640">
        <w:rPr/>
        <w:t>of</w:t>
      </w:r>
      <w:r w:rsidR="008921DA">
        <w:rPr/>
        <w:t xml:space="preserve"> the PLC. </w:t>
      </w:r>
      <w:r w:rsidR="00C96126">
        <w:rPr/>
        <w:t xml:space="preserve">Our first </w:t>
      </w:r>
      <w:r w:rsidR="4611BBA4">
        <w:rPr/>
        <w:t xml:space="preserve">monthly </w:t>
      </w:r>
      <w:r w:rsidR="00C96126">
        <w:rPr/>
        <w:t>meeting of the collective was in June 2023</w:t>
      </w:r>
      <w:r w:rsidR="1B2422FF">
        <w:rPr/>
        <w:t xml:space="preserve">. </w:t>
      </w:r>
      <w:r w:rsidR="5BB7B642">
        <w:rPr/>
        <w:t>W</w:t>
      </w:r>
      <w:r w:rsidR="00C96126">
        <w:rPr/>
        <w:t>e meet monthly and support each other via email, shared articles, meet-ups, professional development opportunities</w:t>
      </w:r>
      <w:r w:rsidR="5783E6DB">
        <w:rPr/>
        <w:t>,</w:t>
      </w:r>
      <w:r w:rsidR="00C96126">
        <w:rPr/>
        <w:t xml:space="preserve"> and practices.</w:t>
      </w:r>
      <w:r w:rsidR="008921DA">
        <w:rPr/>
        <w:t xml:space="preserve"> </w:t>
      </w:r>
      <w:r w:rsidR="00A92E0E">
        <w:rPr/>
        <w:t xml:space="preserve">The foundation of </w:t>
      </w:r>
      <w:r w:rsidR="62AA410D">
        <w:rPr/>
        <w:t xml:space="preserve">The PLC </w:t>
      </w:r>
      <w:r w:rsidR="00A92E0E">
        <w:rPr/>
        <w:t>is anchored in the four key components of culturally responsive teaching: affirmation, validation, cognition, and processing (Hammond, 2014).</w:t>
      </w:r>
    </w:p>
    <w:p w:rsidR="4F1DEA5D" w:rsidP="19947A6B" w:rsidRDefault="4F1DEA5D" w14:paraId="582784BA" w14:textId="13153662">
      <w:pPr>
        <w:spacing w:line="480" w:lineRule="auto"/>
      </w:pPr>
      <w:r>
        <w:t xml:space="preserve"> </w:t>
      </w:r>
    </w:p>
    <w:p w:rsidR="7866E13A" w:rsidP="19947A6B" w:rsidRDefault="7866E13A" w14:paraId="6E4C89C3" w14:textId="7BCFDD18">
      <w:pPr>
        <w:spacing w:line="480" w:lineRule="auto"/>
      </w:pPr>
      <w:r w:rsidRPr="19947A6B">
        <w:rPr>
          <w:b/>
          <w:bCs/>
        </w:rPr>
        <w:t xml:space="preserve">Table </w:t>
      </w:r>
      <w:r w:rsidRPr="19947A6B" w:rsidR="04AD160C">
        <w:rPr>
          <w:b/>
          <w:bCs/>
        </w:rPr>
        <w:t>1</w:t>
      </w:r>
    </w:p>
    <w:p w:rsidR="00D37941" w:rsidP="00D37941" w:rsidRDefault="7866E13A" w14:paraId="7A8822C0" w14:textId="77777777">
      <w:pPr>
        <w:spacing w:line="480" w:lineRule="auto"/>
        <w:rPr>
          <w:i/>
          <w:iCs/>
        </w:rPr>
      </w:pPr>
      <w:r w:rsidRPr="19947A6B">
        <w:rPr>
          <w:i/>
          <w:iCs/>
        </w:rPr>
        <w:t>Four Key Components of Culturally Responsive Teaching</w:t>
      </w:r>
    </w:p>
    <w:p w:rsidR="19795C5D" w:rsidP="19947A6B" w:rsidRDefault="19795C5D" w14:paraId="5EDDFB07" w14:textId="2EE96E7A">
      <w:pPr>
        <w:pBdr>
          <w:top w:val="single" w:color="000000" w:sz="4" w:space="4"/>
          <w:bottom w:val="single" w:color="000000" w:sz="4" w:space="4"/>
        </w:pBdr>
        <w:rPr>
          <w:b/>
          <w:bCs/>
        </w:rPr>
      </w:pPr>
      <w:r w:rsidRPr="19947A6B">
        <w:rPr>
          <w:b/>
          <w:bCs/>
        </w:rPr>
        <w:t>Pillar</w:t>
      </w:r>
      <w:r>
        <w:tab/>
      </w:r>
      <w:r>
        <w:tab/>
      </w:r>
      <w:r w:rsidRPr="19947A6B">
        <w:rPr>
          <w:b/>
          <w:bCs/>
        </w:rPr>
        <w:t xml:space="preserve">          Definition</w:t>
      </w:r>
    </w:p>
    <w:tbl>
      <w:tblPr>
        <w:tblStyle w:val="TableGrid"/>
        <w:tblW w:w="9315"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ook w:val="04A0" w:firstRow="1" w:lastRow="0" w:firstColumn="1" w:lastColumn="0" w:noHBand="0" w:noVBand="1"/>
      </w:tblPr>
      <w:tblGrid>
        <w:gridCol w:w="1965"/>
        <w:gridCol w:w="7350"/>
      </w:tblGrid>
      <w:tr w:rsidR="00A92E0E" w:rsidTr="33BB72CD" w14:paraId="585CFC67" w14:textId="77777777">
        <w:trPr>
          <w:trHeight w:val="300"/>
        </w:trPr>
        <w:tc>
          <w:tcPr>
            <w:tcW w:w="1965" w:type="dxa"/>
            <w:tcMar/>
          </w:tcPr>
          <w:p w:rsidRPr="00A92E0E" w:rsidR="00A92E0E" w:rsidP="00A92E0E" w:rsidRDefault="00A92E0E" w14:paraId="1044C0F9" w14:textId="77777777">
            <w:pPr>
              <w:rPr>
                <w:b/>
                <w:bCs/>
              </w:rPr>
            </w:pPr>
            <w:r w:rsidRPr="00A92E0E">
              <w:rPr>
                <w:b/>
                <w:bCs/>
              </w:rPr>
              <w:t>Affirmation</w:t>
            </w:r>
          </w:p>
          <w:p w:rsidRPr="00A92E0E" w:rsidR="00A92E0E" w:rsidP="00A92E0E" w:rsidRDefault="00A92E0E" w14:paraId="0F9C9DE8" w14:textId="39902DC7">
            <w:pPr>
              <w:rPr>
                <w:b/>
                <w:bCs/>
              </w:rPr>
            </w:pPr>
            <w:r w:rsidRPr="00A92E0E">
              <w:rPr>
                <w:b/>
                <w:bCs/>
              </w:rPr>
              <w:t>“I See You”</w:t>
            </w:r>
          </w:p>
        </w:tc>
        <w:tc>
          <w:tcPr>
            <w:tcW w:w="7350" w:type="dxa"/>
            <w:tcMar/>
          </w:tcPr>
          <w:p w:rsidRPr="008921DA" w:rsidR="00A92E0E" w:rsidP="33BB72CD" w:rsidRDefault="00A92E0E" w14:paraId="51963022" w14:textId="0820B542">
            <w:pPr>
              <w:rPr>
                <w:sz w:val="22"/>
                <w:szCs w:val="22"/>
              </w:rPr>
            </w:pPr>
            <w:r w:rsidRPr="33BB72CD" w:rsidR="00A92E0E">
              <w:rPr>
                <w:sz w:val="22"/>
                <w:szCs w:val="22"/>
              </w:rPr>
              <w:t>Affirm the child</w:t>
            </w:r>
            <w:r w:rsidRPr="33BB72CD" w:rsidR="008921DA">
              <w:rPr>
                <w:sz w:val="22"/>
                <w:szCs w:val="22"/>
              </w:rPr>
              <w:t xml:space="preserve">, </w:t>
            </w:r>
            <w:r w:rsidRPr="33BB72CD" w:rsidR="008921DA">
              <w:rPr>
                <w:sz w:val="22"/>
                <w:szCs w:val="22"/>
              </w:rPr>
              <w:t>recognize</w:t>
            </w:r>
            <w:r w:rsidRPr="33BB72CD" w:rsidR="008921DA">
              <w:rPr>
                <w:sz w:val="22"/>
                <w:szCs w:val="22"/>
              </w:rPr>
              <w:t xml:space="preserve"> and accept them as they are. Nurture their multiple identities -- </w:t>
            </w:r>
            <w:r w:rsidRPr="33BB72CD" w:rsidR="00A92E0E">
              <w:rPr>
                <w:sz w:val="22"/>
                <w:szCs w:val="22"/>
              </w:rPr>
              <w:t xml:space="preserve">as a learner, person of color, as a boy or a girl. </w:t>
            </w:r>
            <w:bookmarkStart w:name="_Int_v70ZvO5d" w:id="0"/>
            <w:r w:rsidRPr="33BB72CD" w:rsidR="008921DA">
              <w:rPr>
                <w:sz w:val="22"/>
                <w:szCs w:val="22"/>
              </w:rPr>
              <w:t>Affirm</w:t>
            </w:r>
            <w:bookmarkEnd w:id="0"/>
            <w:r w:rsidRPr="33BB72CD" w:rsidR="008921DA">
              <w:rPr>
                <w:sz w:val="22"/>
                <w:szCs w:val="22"/>
              </w:rPr>
              <w:t xml:space="preserve"> the child that </w:t>
            </w:r>
            <w:r w:rsidRPr="33BB72CD" w:rsidR="00A92E0E">
              <w:rPr>
                <w:sz w:val="22"/>
                <w:szCs w:val="22"/>
              </w:rPr>
              <w:t xml:space="preserve">none of these aspects are in conflict </w:t>
            </w:r>
            <w:r w:rsidRPr="33BB72CD" w:rsidR="008921DA">
              <w:rPr>
                <w:sz w:val="22"/>
                <w:szCs w:val="22"/>
              </w:rPr>
              <w:t>with you</w:t>
            </w:r>
            <w:r w:rsidRPr="33BB72CD" w:rsidR="00A92E0E">
              <w:rPr>
                <w:sz w:val="22"/>
                <w:szCs w:val="22"/>
              </w:rPr>
              <w:t>.</w:t>
            </w:r>
          </w:p>
          <w:p w:rsidRPr="008921DA" w:rsidR="00A92E0E" w:rsidP="33BB72CD" w:rsidRDefault="00A92E0E" w14:paraId="174BF75A" w14:textId="791C2AAD">
            <w:pPr>
              <w:pStyle w:val="Normal"/>
              <w:rPr>
                <w:sz w:val="22"/>
                <w:szCs w:val="22"/>
              </w:rPr>
            </w:pPr>
          </w:p>
        </w:tc>
      </w:tr>
      <w:tr w:rsidR="00A92E0E" w:rsidTr="33BB72CD" w14:paraId="038C421A" w14:textId="77777777">
        <w:trPr>
          <w:trHeight w:val="300"/>
        </w:trPr>
        <w:tc>
          <w:tcPr>
            <w:tcW w:w="1965" w:type="dxa"/>
            <w:tcMar/>
          </w:tcPr>
          <w:p w:rsidRPr="00A92E0E" w:rsidR="00A92E0E" w:rsidP="00A92E0E" w:rsidRDefault="00A92E0E" w14:paraId="6B86ED5A" w14:textId="77777777">
            <w:pPr>
              <w:rPr>
                <w:b/>
                <w:bCs/>
              </w:rPr>
            </w:pPr>
            <w:r w:rsidRPr="00A92E0E">
              <w:rPr>
                <w:b/>
                <w:bCs/>
              </w:rPr>
              <w:t>Validation</w:t>
            </w:r>
          </w:p>
          <w:p w:rsidRPr="00A92E0E" w:rsidR="00A92E0E" w:rsidP="00A92E0E" w:rsidRDefault="00A92E0E" w14:paraId="024BEAEA" w14:textId="61948DEE">
            <w:pPr>
              <w:rPr>
                <w:b/>
                <w:bCs/>
              </w:rPr>
            </w:pPr>
            <w:r w:rsidRPr="00A92E0E">
              <w:rPr>
                <w:b/>
                <w:bCs/>
              </w:rPr>
              <w:t>“There are 2 Americas”</w:t>
            </w:r>
          </w:p>
        </w:tc>
        <w:tc>
          <w:tcPr>
            <w:tcW w:w="7350" w:type="dxa"/>
            <w:tcMar/>
          </w:tcPr>
          <w:p w:rsidRPr="008921DA" w:rsidR="00A92E0E" w:rsidP="008921DA" w:rsidRDefault="00A92E0E" w14:paraId="09A4E478" w14:textId="77777777">
            <w:pPr>
              <w:rPr>
                <w:sz w:val="22"/>
                <w:szCs w:val="22"/>
              </w:rPr>
            </w:pPr>
            <w:r w:rsidRPr="008921DA">
              <w:rPr>
                <w:sz w:val="22"/>
                <w:szCs w:val="22"/>
              </w:rPr>
              <w:t>Validation is about acknowledging the socio-political context students live in.</w:t>
            </w:r>
          </w:p>
          <w:p w:rsidR="00A92E0E" w:rsidP="00A92E0E" w:rsidRDefault="00A92E0E" w14:paraId="414E90FE" w14:textId="18640876">
            <w:r w:rsidRPr="33BB72CD" w:rsidR="00A92E0E">
              <w:rPr>
                <w:color w:val="373536"/>
                <w:sz w:val="22"/>
                <w:szCs w:val="22"/>
              </w:rPr>
              <w:t xml:space="preserve">The process of validation flips the traditional view of classroom instruction and learning as a neutral process removed from the concepts of power, politics, </w:t>
            </w:r>
            <w:r w:rsidRPr="33BB72CD" w:rsidR="00A92E0E">
              <w:rPr>
                <w:color w:val="373536"/>
                <w:sz w:val="22"/>
                <w:szCs w:val="22"/>
              </w:rPr>
              <w:t>history</w:t>
            </w:r>
            <w:r w:rsidRPr="33BB72CD" w:rsidR="00A92E0E">
              <w:rPr>
                <w:color w:val="373536"/>
                <w:sz w:val="22"/>
                <w:szCs w:val="22"/>
              </w:rPr>
              <w:t xml:space="preserve"> and context and instead uses these issues tools of instruction and discourse.</w:t>
            </w:r>
          </w:p>
          <w:p w:rsidR="00A92E0E" w:rsidP="33BB72CD" w:rsidRDefault="00A92E0E" w14:paraId="357FD146" w14:textId="6395C7E6">
            <w:pPr>
              <w:pStyle w:val="Normal"/>
              <w:rPr>
                <w:color w:val="373536"/>
                <w:sz w:val="22"/>
                <w:szCs w:val="22"/>
              </w:rPr>
            </w:pPr>
          </w:p>
        </w:tc>
      </w:tr>
      <w:tr w:rsidR="00A92E0E" w:rsidTr="33BB72CD" w14:paraId="5CEB5F80" w14:textId="77777777">
        <w:trPr>
          <w:trHeight w:val="300"/>
        </w:trPr>
        <w:tc>
          <w:tcPr>
            <w:tcW w:w="1965" w:type="dxa"/>
            <w:tcBorders>
              <w:bottom w:val="none" w:color="000000" w:themeColor="text1" w:sz="4" w:space="0"/>
            </w:tcBorders>
            <w:tcMar/>
          </w:tcPr>
          <w:p w:rsidRPr="00A92E0E" w:rsidR="00A92E0E" w:rsidP="00A92E0E" w:rsidRDefault="00A92E0E" w14:paraId="5938E128" w14:textId="77777777">
            <w:pPr>
              <w:rPr>
                <w:b/>
                <w:bCs/>
              </w:rPr>
            </w:pPr>
            <w:r w:rsidRPr="00A92E0E">
              <w:rPr>
                <w:b/>
                <w:bCs/>
              </w:rPr>
              <w:t>Cognition</w:t>
            </w:r>
          </w:p>
          <w:p w:rsidRPr="00A92E0E" w:rsidR="00A92E0E" w:rsidP="00A92E0E" w:rsidRDefault="00A92E0E" w14:paraId="36D0977E" w14:textId="30A1DC93">
            <w:pPr>
              <w:rPr>
                <w:b/>
                <w:bCs/>
              </w:rPr>
            </w:pPr>
            <w:r w:rsidRPr="00A92E0E">
              <w:rPr>
                <w:b/>
                <w:bCs/>
              </w:rPr>
              <w:t>“I Get It”</w:t>
            </w:r>
          </w:p>
        </w:tc>
        <w:tc>
          <w:tcPr>
            <w:tcW w:w="7350" w:type="dxa"/>
            <w:tcBorders>
              <w:bottom w:val="none" w:color="000000" w:themeColor="text1" w:sz="4" w:space="0"/>
            </w:tcBorders>
            <w:tcMar/>
          </w:tcPr>
          <w:p w:rsidRPr="008921DA" w:rsidR="00A92E0E" w:rsidP="008921DA" w:rsidRDefault="00A92E0E" w14:paraId="3E1943C5" w14:textId="19888251">
            <w:pPr>
              <w:widowControl/>
              <w:shd w:val="clear" w:color="auto" w:fill="FFFFFF"/>
              <w:textAlignment w:val="baseline"/>
              <w:rPr>
                <w:color w:val="373536"/>
                <w:sz w:val="22"/>
                <w:szCs w:val="22"/>
              </w:rPr>
            </w:pPr>
            <w:r w:rsidRPr="008921DA">
              <w:rPr>
                <w:color w:val="373536"/>
                <w:sz w:val="22"/>
                <w:szCs w:val="22"/>
              </w:rPr>
              <w:t>Using CRP as a cognitive aid means using the student’s culture as a reference point for helping them understand concepts. Learning theory, neuroscience and culturally responsive teaching converge.</w:t>
            </w:r>
          </w:p>
          <w:p w:rsidR="00A92E0E" w:rsidP="00A92E0E" w:rsidRDefault="00A92E0E" w14:paraId="7B509184" w14:textId="77777777"/>
        </w:tc>
      </w:tr>
      <w:tr w:rsidR="00A92E0E" w:rsidTr="33BB72CD" w14:paraId="2DAC0E91" w14:textId="77777777">
        <w:trPr>
          <w:trHeight w:val="300"/>
        </w:trPr>
        <w:tc>
          <w:tcPr>
            <w:tcW w:w="1965" w:type="dxa"/>
            <w:tcBorders>
              <w:top w:val="none" w:color="000000" w:themeColor="text1" w:sz="4" w:space="0"/>
              <w:left w:val="none" w:color="000000" w:themeColor="text1" w:sz="4" w:space="0"/>
              <w:bottom w:val="none" w:color="0D0D0D" w:themeColor="text1" w:themeTint="F2" w:sz="4" w:space="0"/>
              <w:right w:val="none" w:color="000000" w:themeColor="text1" w:sz="4" w:space="0"/>
            </w:tcBorders>
            <w:tcMar/>
          </w:tcPr>
          <w:p w:rsidRPr="00A92E0E" w:rsidR="00A92E0E" w:rsidP="00A92E0E" w:rsidRDefault="00A92E0E" w14:paraId="61CF7FE1" w14:textId="77777777">
            <w:pPr>
              <w:rPr>
                <w:b/>
                <w:bCs/>
              </w:rPr>
            </w:pPr>
            <w:r w:rsidRPr="00A92E0E">
              <w:rPr>
                <w:b/>
                <w:bCs/>
              </w:rPr>
              <w:t>Processing</w:t>
            </w:r>
          </w:p>
          <w:p w:rsidRPr="00A92E0E" w:rsidR="00A92E0E" w:rsidP="00A92E0E" w:rsidRDefault="00A92E0E" w14:paraId="4CBB96BA" w14:textId="35B4178A">
            <w:pPr>
              <w:rPr>
                <w:b/>
                <w:bCs/>
              </w:rPr>
            </w:pPr>
            <w:r w:rsidRPr="00A92E0E">
              <w:rPr>
                <w:b/>
                <w:bCs/>
              </w:rPr>
              <w:t>“I Remember"</w:t>
            </w:r>
          </w:p>
        </w:tc>
        <w:tc>
          <w:tcPr>
            <w:tcW w:w="7350" w:type="dxa"/>
            <w:tcBorders>
              <w:top w:val="none" w:color="000000" w:themeColor="text1" w:sz="4" w:space="0"/>
              <w:left w:val="none" w:color="000000" w:themeColor="text1" w:sz="4" w:space="0"/>
              <w:bottom w:val="none" w:color="0D0D0D" w:themeColor="text1" w:themeTint="F2" w:sz="4" w:space="0"/>
              <w:right w:val="none" w:color="000000" w:themeColor="text1" w:sz="4" w:space="0"/>
            </w:tcBorders>
            <w:tcMar/>
          </w:tcPr>
          <w:p w:rsidR="00A92E0E" w:rsidP="00A92E0E" w:rsidRDefault="00A92E0E" w14:paraId="5392469E" w14:textId="0E45E93E">
            <w:r w:rsidRPr="00D66C2E">
              <w:rPr>
                <w:color w:val="373536"/>
              </w:rPr>
              <w:t>While the cognitive understanding component helps a student “get it”, information processing is about helping him “hold on to it”. It is about helping the student internalize content to the level of automaticity where he can quickly locate and retrieve information from his memory banks</w:t>
            </w:r>
          </w:p>
        </w:tc>
      </w:tr>
    </w:tbl>
    <w:p w:rsidRPr="008921DA" w:rsidR="00D66C2E" w:rsidP="00A92E0E" w:rsidRDefault="63213CAA" w14:paraId="21DB0DBB" w14:textId="322C336C">
      <w:pPr>
        <w:pStyle w:val="NormalWeb"/>
        <w:rPr>
          <w:sz w:val="22"/>
          <w:szCs w:val="22"/>
        </w:rPr>
      </w:pPr>
      <w:r w:rsidRPr="19947A6B">
        <w:rPr>
          <w:i/>
          <w:iCs/>
          <w:sz w:val="22"/>
          <w:szCs w:val="22"/>
        </w:rPr>
        <w:t>___________________________________________________________________________________</w:t>
      </w:r>
      <w:r w:rsidRPr="19947A6B" w:rsidR="387473F3">
        <w:rPr>
          <w:sz w:val="22"/>
          <w:szCs w:val="22"/>
        </w:rPr>
        <w:t xml:space="preserve"> </w:t>
      </w:r>
    </w:p>
    <w:p w:rsidR="003563B5" w:rsidP="00A92E0E" w:rsidRDefault="003563B5" w14:paraId="44268FDD" w14:textId="07FDCC69">
      <w:pPr>
        <w:pStyle w:val="Heading3"/>
        <w:shd w:val="clear" w:color="auto" w:fill="FFFFFF"/>
        <w:spacing w:before="0" w:after="0" w:line="240" w:lineRule="atLeast"/>
        <w:textAlignment w:val="baseline"/>
      </w:pPr>
    </w:p>
    <w:p w:rsidR="62AA410D" w:rsidP="6A5ED4F1" w:rsidRDefault="0DC9B07A" w14:paraId="4C7ED44A" w14:textId="111AB1D2">
      <w:pPr>
        <w:spacing w:line="480" w:lineRule="auto"/>
        <w:ind w:firstLine="720"/>
      </w:pPr>
      <w:r w:rsidR="0DC9B07A">
        <w:rPr/>
        <w:t xml:space="preserve">The </w:t>
      </w:r>
      <w:r w:rsidR="3D5709DE">
        <w:rPr/>
        <w:t xml:space="preserve">learning </w:t>
      </w:r>
      <w:r w:rsidR="0DC9B07A">
        <w:rPr/>
        <w:t>community defines CR</w:t>
      </w:r>
      <w:r w:rsidR="15432F98">
        <w:rPr/>
        <w:t>T</w:t>
      </w:r>
      <w:r w:rsidR="58B79051">
        <w:rPr/>
        <w:t xml:space="preserve"> as “an educator’s ability to recognize students’ cultural displays of learning and </w:t>
      </w:r>
      <w:r w:rsidR="58B79051">
        <w:rPr/>
        <w:t>meaning</w:t>
      </w:r>
      <w:r w:rsidR="656F3A07">
        <w:rPr/>
        <w:t>-</w:t>
      </w:r>
      <w:r w:rsidR="58B79051">
        <w:rPr/>
        <w:t>making</w:t>
      </w:r>
      <w:r w:rsidR="58B79051">
        <w:rPr/>
        <w:t xml:space="preserve"> and respond</w:t>
      </w:r>
      <w:r w:rsidR="58B79051">
        <w:rPr/>
        <w:t xml:space="preserve"> positively and constructively with teaching moves that use cultural knowledge as a scaffold to connect what the students know to new concepts and content in order to promote effective information processing</w:t>
      </w:r>
      <w:r w:rsidR="79D3CCC8">
        <w:rPr/>
        <w:t>”</w:t>
      </w:r>
      <w:r w:rsidR="003563B5">
        <w:rPr/>
        <w:t xml:space="preserve"> </w:t>
      </w:r>
      <w:r w:rsidR="003563B5">
        <w:rPr/>
        <w:t>(</w:t>
      </w:r>
      <w:hyperlink r:id="Rcb994ef636fb45e7">
        <w:r w:rsidRPr="4D12D037" w:rsidR="2A42F489">
          <w:rPr>
            <w:rStyle w:val="Hyperlink"/>
          </w:rPr>
          <w:t>https://sitesed.cde.state.co.us/mod/book/tool/print/</w:t>
        </w:r>
        <w:r w:rsidRPr="4D12D037" w:rsidR="2A42F489">
          <w:rPr>
            <w:rStyle w:val="Hyperlink"/>
          </w:rPr>
          <w:t>index.php?id</w:t>
        </w:r>
        <w:r w:rsidRPr="4D12D037" w:rsidR="2A42F489">
          <w:rPr>
            <w:rStyle w:val="Hyperlink"/>
          </w:rPr>
          <w:t>=8030</w:t>
        </w:r>
      </w:hyperlink>
      <w:r w:rsidR="003563B5">
        <w:rPr/>
        <w:t>)</w:t>
      </w:r>
      <w:r w:rsidR="199A1439">
        <w:rPr/>
        <w:t>.</w:t>
      </w:r>
      <w:r w:rsidR="199A1439">
        <w:rPr/>
        <w:t xml:space="preserve"> </w:t>
      </w:r>
      <w:r w:rsidR="001E2EE7">
        <w:rPr/>
        <w:t>W</w:t>
      </w:r>
      <w:r w:rsidR="62E4F339">
        <w:rPr/>
        <w:t>e have worked on</w:t>
      </w:r>
      <w:r w:rsidR="489DFC36">
        <w:rPr/>
        <w:t xml:space="preserve"> making sure students feel </w:t>
      </w:r>
      <w:r w:rsidR="29A914C6">
        <w:rPr/>
        <w:t>welcome, safe,</w:t>
      </w:r>
      <w:r w:rsidR="489DFC36">
        <w:rPr/>
        <w:t xml:space="preserve"> and becoming “warm demanders” (</w:t>
      </w:r>
      <w:r w:rsidR="489DFC36">
        <w:rPr/>
        <w:t>Hammond</w:t>
      </w:r>
      <w:r w:rsidR="6FAF2F1B">
        <w:rPr/>
        <w:t>, 2014)</w:t>
      </w:r>
      <w:r w:rsidR="413D75CD">
        <w:rPr/>
        <w:t>. A warm</w:t>
      </w:r>
      <w:r w:rsidR="4B8A0F1E">
        <w:rPr/>
        <w:t xml:space="preserve"> demander</w:t>
      </w:r>
      <w:r w:rsidR="413D75CD">
        <w:rPr/>
        <w:t xml:space="preserve"> is a teacher who communicates personal warmth toward students </w:t>
      </w:r>
      <w:r w:rsidR="2F964907">
        <w:rPr/>
        <w:t xml:space="preserve">and simultaneously requires </w:t>
      </w:r>
      <w:r w:rsidR="1F94C564">
        <w:rPr/>
        <w:t xml:space="preserve">students </w:t>
      </w:r>
      <w:r w:rsidR="27BC94F4">
        <w:rPr/>
        <w:t>to work</w:t>
      </w:r>
      <w:r w:rsidR="1F94C564">
        <w:rPr/>
        <w:t xml:space="preserve"> towards </w:t>
      </w:r>
      <w:r w:rsidR="5FB8FFB9">
        <w:rPr/>
        <w:t>ambitious standards</w:t>
      </w:r>
      <w:r w:rsidR="1F94C564">
        <w:rPr/>
        <w:t xml:space="preserve"> and </w:t>
      </w:r>
      <w:r w:rsidR="1F94C564">
        <w:rPr/>
        <w:t>high expectations</w:t>
      </w:r>
      <w:r w:rsidR="003563B5">
        <w:rPr/>
        <w:t xml:space="preserve"> </w:t>
      </w:r>
      <w:r w:rsidR="003563B5">
        <w:rPr/>
        <w:t>(</w:t>
      </w:r>
      <w:r w:rsidR="003563B5">
        <w:rPr/>
        <w:t>D</w:t>
      </w:r>
      <w:r w:rsidR="003563B5">
        <w:rPr/>
        <w:t>e</w:t>
      </w:r>
      <w:r w:rsidR="003563B5">
        <w:rPr/>
        <w:t>lpit, 2013</w:t>
      </w:r>
      <w:r w:rsidR="003563B5">
        <w:rPr/>
        <w:t>)</w:t>
      </w:r>
      <w:r w:rsidR="1F94C564">
        <w:rPr/>
        <w:t xml:space="preserve">. </w:t>
      </w:r>
      <w:r w:rsidR="413D75CD">
        <w:rPr/>
        <w:t xml:space="preserve">The teacher </w:t>
      </w:r>
      <w:r w:rsidR="413D75CD">
        <w:rPr/>
        <w:t>provides</w:t>
      </w:r>
      <w:r w:rsidR="413D75CD">
        <w:rPr/>
        <w:t xml:space="preserve"> concrete guidance and support for meeting the standards, particularly corrective feedback, opportunities for information processing, and culturally relevant meaning making.</w:t>
      </w:r>
      <w:r w:rsidR="7BE15889">
        <w:rPr/>
        <w:t xml:space="preserve"> (Hammond, 2014).</w:t>
      </w:r>
      <w:r w:rsidR="489DFC36">
        <w:rPr/>
        <w:t xml:space="preserve"> </w:t>
      </w:r>
    </w:p>
    <w:p w:rsidRPr="00A92E0E" w:rsidR="000E431C" w:rsidP="008921DA" w:rsidRDefault="000E431C" w14:paraId="1288F69F" w14:textId="11918B5E">
      <w:pPr>
        <w:spacing w:line="480" w:lineRule="auto"/>
        <w:rPr>
          <w:b/>
          <w:bCs/>
        </w:rPr>
      </w:pPr>
      <w:r w:rsidRPr="00A92E0E">
        <w:rPr>
          <w:b/>
          <w:bCs/>
        </w:rPr>
        <w:t xml:space="preserve">Areas of Academic Growth </w:t>
      </w:r>
    </w:p>
    <w:p w:rsidR="0030137C" w:rsidRDefault="00C96126" w14:paraId="7CBD8B28" w14:textId="7E75C62F">
      <w:pPr>
        <w:spacing w:line="480" w:lineRule="auto"/>
        <w:ind w:firstLine="720"/>
      </w:pPr>
      <w:r>
        <w:t xml:space="preserve">As an educator and an administrator in the public school system, I </w:t>
      </w:r>
      <w:r w:rsidR="008921DA">
        <w:t xml:space="preserve">have grown in the area of cultural competence, cultural responsiveness, and transitioning families from involvement to engagement. </w:t>
      </w:r>
      <w:r w:rsidR="530F9E99">
        <w:t>Academically, I can put current research into practice and build capacity in educators with current literature.</w:t>
      </w:r>
      <w:r w:rsidR="008921DA">
        <w:t xml:space="preserve"> I was able to implement my own qualitative research study utilizing a survey. I engaged with stakeholders to pursue permission for my research, and ultimately strengthen the professional practice of other novice educators in very diverse classrooms.</w:t>
      </w:r>
    </w:p>
    <w:p w:rsidRPr="008921DA" w:rsidR="00534968" w:rsidP="00A92E0E" w:rsidRDefault="00534968" w14:paraId="087DDDD9" w14:textId="0A8275DA">
      <w:pPr>
        <w:spacing w:line="480" w:lineRule="auto"/>
        <w:rPr>
          <w:b/>
          <w:bCs/>
        </w:rPr>
      </w:pPr>
      <w:r w:rsidRPr="008921DA">
        <w:rPr>
          <w:b/>
          <w:bCs/>
        </w:rPr>
        <w:t xml:space="preserve">Scholarly Achievements </w:t>
      </w:r>
    </w:p>
    <w:p w:rsidR="0030137C" w:rsidP="3757822D" w:rsidRDefault="00C96126" w14:paraId="42962730" w14:textId="6A653B4F">
      <w:pPr>
        <w:spacing w:line="480" w:lineRule="auto"/>
        <w:ind w:firstLine="720"/>
      </w:pPr>
      <w:r>
        <w:t>As I continue</w:t>
      </w:r>
      <w:r w:rsidR="5257FBD6">
        <w:t>d</w:t>
      </w:r>
      <w:r>
        <w:t xml:space="preserve"> to work with the PLC, interview respondents to the CRCM survey and independent study, and conduct</w:t>
      </w:r>
      <w:r w:rsidR="782E8DC5">
        <w:t>ed</w:t>
      </w:r>
      <w:r>
        <w:t xml:space="preserve"> personal </w:t>
      </w:r>
      <w:r w:rsidR="006E749B">
        <w:t>interviews,</w:t>
      </w:r>
      <w:r w:rsidRPr="548C78CC">
        <w:rPr>
          <w:color w:val="auto"/>
        </w:rPr>
        <w:t xml:space="preserve"> I realized that those areas of interest are important to me, but not my area of passion. During this time of exploration, I reaffirmed an area of both interest and passion, and that</w:t>
      </w:r>
      <w:r w:rsidRPr="548C78CC">
        <w:rPr>
          <w:color w:val="0563C1"/>
          <w:u w:val="single"/>
        </w:rPr>
        <w:t xml:space="preserve"> </w:t>
      </w:r>
      <w:r w:rsidR="72E9E376">
        <w:t>is Black</w:t>
      </w:r>
      <w:r w:rsidR="2AB2393C">
        <w:t xml:space="preserve"> </w:t>
      </w:r>
      <w:bookmarkStart w:name="_Int_aGzLCtJL" w:id="1"/>
      <w:r w:rsidR="7A49F248">
        <w:t>caregivers'</w:t>
      </w:r>
      <w:bookmarkEnd w:id="1"/>
      <w:r w:rsidR="2AB2393C">
        <w:t xml:space="preserve"> </w:t>
      </w:r>
      <w:r w:rsidR="006E749B">
        <w:t xml:space="preserve">perceive the symptoms of ASD and how such experiences impact their recommendation of related services and academic interventions. </w:t>
      </w:r>
      <w:r w:rsidR="1C0891AA">
        <w:t>I want to share the lived experiences of Black caregivers of children with ASD to provide an additional resource to families traversing this ASD journey.</w:t>
      </w:r>
      <w:r w:rsidR="3CCCD340">
        <w:t xml:space="preserve"> </w:t>
      </w:r>
    </w:p>
    <w:p w:rsidR="0030137C" w:rsidP="0048145F" w:rsidRDefault="76AD2AF9" w14:paraId="67AD4529" w14:textId="1B9F69EB">
      <w:pPr>
        <w:spacing w:line="480" w:lineRule="auto"/>
        <w:ind w:firstLine="720"/>
      </w:pPr>
      <w:r>
        <w:t xml:space="preserve">I revisited Chapters 4, 5, and </w:t>
      </w:r>
      <w:r w:rsidR="0408E5FA">
        <w:t>6</w:t>
      </w:r>
      <w:r>
        <w:t xml:space="preserve"> of the</w:t>
      </w:r>
      <w:r w:rsidRPr="19947A6B" w:rsidR="5512FD76">
        <w:rPr>
          <w:color w:val="auto"/>
        </w:rPr>
        <w:t xml:space="preserve"> report,</w:t>
      </w:r>
      <w:r w:rsidRPr="19947A6B">
        <w:rPr>
          <w:color w:val="0563C1"/>
          <w:u w:val="single"/>
        </w:rPr>
        <w:t xml:space="preserve"> </w:t>
      </w:r>
      <w:r w:rsidRPr="19947A6B">
        <w:rPr>
          <w:color w:val="auto"/>
        </w:rPr>
        <w:t xml:space="preserve">and my area of interest </w:t>
      </w:r>
      <w:r w:rsidRPr="19947A6B" w:rsidR="135AB301">
        <w:rPr>
          <w:color w:val="auto"/>
        </w:rPr>
        <w:t>crystallized</w:t>
      </w:r>
      <w:r w:rsidRPr="19947A6B">
        <w:rPr>
          <w:color w:val="auto"/>
        </w:rPr>
        <w:t xml:space="preserve">. </w:t>
      </w:r>
      <w:r w:rsidRPr="19947A6B" w:rsidR="6C2E2692">
        <w:rPr>
          <w:color w:val="auto"/>
        </w:rPr>
        <w:t>In these chapters, t</w:t>
      </w:r>
      <w:r w:rsidR="3FBCB98F">
        <w:t xml:space="preserve">he team explored areas of diagnosis and treatment that not only </w:t>
      </w:r>
      <w:r>
        <w:t xml:space="preserve">sparked my </w:t>
      </w:r>
      <w:r w:rsidR="0A1FF514">
        <w:t>interest but</w:t>
      </w:r>
      <w:r>
        <w:t xml:space="preserve"> became an area of absolute passion for me. The chapters that had the greatest </w:t>
      </w:r>
      <w:r w:rsidR="6ECAF08A">
        <w:t xml:space="preserve">personal </w:t>
      </w:r>
      <w:r>
        <w:t xml:space="preserve">impact were, </w:t>
      </w:r>
      <w:r w:rsidRPr="19947A6B">
        <w:rPr>
          <w:i/>
          <w:iCs/>
        </w:rPr>
        <w:t>Framing the Experiences of BIPOC Children and Adults in Accessing or Engaging in Treatment for ADHD Symptoms</w:t>
      </w:r>
      <w:r>
        <w:t xml:space="preserve">, </w:t>
      </w:r>
      <w:r w:rsidRPr="19947A6B">
        <w:rPr>
          <w:i/>
          <w:iCs/>
        </w:rPr>
        <w:t>Stigmas About ADHD in BIPOC Communities that Could Influence Seeking Treatment</w:t>
      </w:r>
      <w:r>
        <w:t xml:space="preserve">, and discussed </w:t>
      </w:r>
      <w:r w:rsidRPr="19947A6B">
        <w:rPr>
          <w:i/>
          <w:iCs/>
        </w:rPr>
        <w:t>Racial Differences in Diagnosis of BIPOC Children</w:t>
      </w:r>
      <w:r w:rsidRPr="19947A6B" w:rsidR="5512FD76">
        <w:rPr>
          <w:i/>
          <w:iCs/>
        </w:rPr>
        <w:t>.</w:t>
      </w:r>
      <w:r>
        <w:t xml:space="preserve"> </w:t>
      </w:r>
      <w:r w:rsidR="5512FD76">
        <w:t xml:space="preserve">As I begin my research, I want to further the culturally and contextually responsive approach to how parents perceive ASD and how their experiences impact their involvement in the co-construction of the educational plan </w:t>
      </w:r>
      <w:r w:rsidR="44054C44">
        <w:t>and services</w:t>
      </w:r>
      <w:r w:rsidR="5512FD76">
        <w:t xml:space="preserve"> for their child. I want to center my research</w:t>
      </w:r>
      <w:r w:rsidR="44054C44">
        <w:t xml:space="preserve"> to give voice to parents and empower them to both embrace and resist ableist notions of normalcy and construct powerful trajectories for their child. </w:t>
      </w:r>
    </w:p>
    <w:p w:rsidR="713B132C" w:rsidP="6A5ED4F1" w:rsidRDefault="713B132C" w14:paraId="6D345D75" w14:textId="355B181D">
      <w:pPr>
        <w:spacing w:line="480" w:lineRule="auto"/>
        <w:ind w:firstLine="720"/>
      </w:pPr>
      <w:r>
        <w:t>As a special educator and special education administrator, I have a passion</w:t>
      </w:r>
      <w:r w:rsidR="6B58AEEA">
        <w:t xml:space="preserve"> for helping families understand </w:t>
      </w:r>
      <w:r w:rsidR="46BE15DA">
        <w:t xml:space="preserve">their child’s </w:t>
      </w:r>
      <w:r w:rsidR="6B58AEEA">
        <w:t>disability diagnosis</w:t>
      </w:r>
      <w:r w:rsidR="28E7974F">
        <w:t xml:space="preserve">, access school and community </w:t>
      </w:r>
      <w:r w:rsidR="3C352E13">
        <w:t>support</w:t>
      </w:r>
      <w:r w:rsidR="41249789">
        <w:t xml:space="preserve"> and services</w:t>
      </w:r>
      <w:r w:rsidR="480EAD8C">
        <w:t xml:space="preserve">, and be their child’s number one advocate. </w:t>
      </w:r>
      <w:r w:rsidR="0946E3C0">
        <w:t xml:space="preserve">Daily, </w:t>
      </w:r>
      <w:r w:rsidR="480EAD8C">
        <w:t xml:space="preserve">I encounter caregivers that want to support their </w:t>
      </w:r>
      <w:r w:rsidR="004CFC5A">
        <w:t xml:space="preserve">child but don’t want the label or stigma associated </w:t>
      </w:r>
      <w:r w:rsidR="496456C2">
        <w:t xml:space="preserve">with special education. </w:t>
      </w:r>
      <w:r w:rsidR="62565712">
        <w:t>Some accept the diagnosis and services, some are moved to inaction in a hazy, state of denial, and many revoke services. I want to give voice to families who have received an A</w:t>
      </w:r>
      <w:r w:rsidR="1A94A5E0">
        <w:t xml:space="preserve">SD diagnosis, give power to their voice and experience, so that their lived experience may help other families experiencing the same diagnosis. </w:t>
      </w:r>
    </w:p>
    <w:p w:rsidR="49F16461" w:rsidP="33BB72CD" w:rsidRDefault="49F16461" w14:paraId="497683CB" w14:textId="6647FAFA">
      <w:pPr>
        <w:pStyle w:val="Normal"/>
        <w:spacing w:line="480" w:lineRule="auto"/>
        <w:ind w:firstLine="720"/>
      </w:pPr>
      <w:r w:rsidR="00C96126">
        <w:rPr/>
        <w:t xml:space="preserve">Designed for the </w:t>
      </w:r>
      <w:r w:rsidR="00C96126">
        <w:rPr/>
        <w:t>CHADD rep</w:t>
      </w:r>
      <w:r w:rsidR="0122BA46">
        <w:rPr/>
        <w:t xml:space="preserve">ort, </w:t>
      </w:r>
      <w:r w:rsidR="00C96126">
        <w:rPr/>
        <w:t xml:space="preserve">I recently revisited </w:t>
      </w:r>
      <w:r w:rsidRPr="306FFA27" w:rsidR="00C96126">
        <w:rPr>
          <w:i w:val="1"/>
          <w:iCs w:val="1"/>
        </w:rPr>
        <w:t xml:space="preserve">Figure 1 </w:t>
      </w:r>
      <w:r w:rsidR="00C96126">
        <w:rPr/>
        <w:t>that pictoria</w:t>
      </w:r>
      <w:r w:rsidR="00C96126">
        <w:rPr/>
        <w:t xml:space="preserve">lly </w:t>
      </w:r>
      <w:r w:rsidR="00C96126">
        <w:rPr/>
        <w:t>repres</w:t>
      </w:r>
      <w:r w:rsidR="00C96126">
        <w:rPr/>
        <w:t>ents</w:t>
      </w:r>
      <w:r w:rsidR="00C96126">
        <w:rPr/>
        <w:t xml:space="preserve"> the layers of influencers t</w:t>
      </w:r>
      <w:r w:rsidR="00C96126">
        <w:rPr/>
        <w:t xml:space="preserve">hat </w:t>
      </w:r>
      <w:r w:rsidR="00C96126">
        <w:rPr/>
        <w:t>im</w:t>
      </w:r>
      <w:r w:rsidR="00C96126">
        <w:rPr/>
        <w:t>pact</w:t>
      </w:r>
      <w:r w:rsidR="00C96126">
        <w:rPr/>
        <w:t xml:space="preserve"> the under-representation of ADHD diagnoses in diverse </w:t>
      </w:r>
      <w:r w:rsidR="09197BCE">
        <w:rPr/>
        <w:t>communities and</w:t>
      </w:r>
      <w:r w:rsidR="00C96126">
        <w:rPr/>
        <w:t xml:space="preserve"> depicts the barriers to care and treatment. This figure shows that the factors t</w:t>
      </w:r>
      <w:r w:rsidR="00C96126">
        <w:rPr/>
        <w:t xml:space="preserve">hat </w:t>
      </w:r>
      <w:r w:rsidR="00C96126">
        <w:rPr/>
        <w:t>im</w:t>
      </w:r>
      <w:r w:rsidR="00C96126">
        <w:rPr/>
        <w:t>pact</w:t>
      </w:r>
      <w:r w:rsidR="00C96126">
        <w:rPr/>
        <w:t xml:space="preserve"> </w:t>
      </w:r>
      <w:r w:rsidR="6F10E661">
        <w:rPr/>
        <w:t>diagnoses</w:t>
      </w:r>
      <w:r w:rsidR="00C96126">
        <w:rPr/>
        <w:t xml:space="preserve"> </w:t>
      </w:r>
      <w:r w:rsidR="00C96126">
        <w:rPr/>
        <w:t xml:space="preserve">are </w:t>
      </w:r>
      <w:r w:rsidR="00C96126">
        <w:rPr/>
        <w:t>nume</w:t>
      </w:r>
      <w:r w:rsidR="00C96126">
        <w:rPr/>
        <w:t>rous</w:t>
      </w:r>
      <w:r w:rsidR="00C96126">
        <w:rPr/>
        <w:t xml:space="preserve"> and layered. The structure of the corresponding chapter examined these layers by, first, exploring the factors that influence BIPOC children as “behavior problems.” The contribution of historical narratives and </w:t>
      </w:r>
      <w:r w:rsidR="007D055D">
        <w:rPr/>
        <w:t xml:space="preserve">negative </w:t>
      </w:r>
      <w:r w:rsidR="00C96126">
        <w:rPr/>
        <w:t>stereotypes of Black children, an overview of the influences that impact differences in teacher and parent behavior rating scales, and finally, the racial effect of disciplining behavior versus treating externalized behavior was examin</w:t>
      </w:r>
      <w:r w:rsidR="00C96126">
        <w:rPr/>
        <w:t>ed</w:t>
      </w:r>
      <w:r w:rsidR="2948C973">
        <w:rPr/>
        <w:t xml:space="preserve">. </w:t>
      </w:r>
      <w:r w:rsidRPr="306FFA27" w:rsidR="2948C973">
        <w:rPr>
          <w:i w:val="0"/>
          <w:iCs w:val="0"/>
        </w:rPr>
        <w:t>Percept</w:t>
      </w:r>
      <w:r w:rsidRPr="306FFA27" w:rsidR="2948C973">
        <w:rPr>
          <w:i w:val="0"/>
          <w:iCs w:val="0"/>
        </w:rPr>
        <w:t>ions</w:t>
      </w:r>
      <w:r w:rsidRPr="306FFA27" w:rsidR="2948C973">
        <w:rPr>
          <w:i w:val="0"/>
          <w:iCs w:val="0"/>
        </w:rPr>
        <w:t xml:space="preserve"> and Attributes Impacting Care and Treatment in the African American Community are found in </w:t>
      </w:r>
      <w:r w:rsidRPr="306FFA27" w:rsidR="089B3C0C">
        <w:rPr>
          <w:i w:val="1"/>
          <w:iCs w:val="1"/>
        </w:rPr>
        <w:t>Appendix A3</w:t>
      </w:r>
      <w:r w:rsidR="14C9D647">
        <w:rPr/>
        <w:t>.</w:t>
      </w:r>
    </w:p>
    <w:p w:rsidR="0030137C" w:rsidP="33BB72CD" w:rsidRDefault="76AD2AF9" w14:paraId="6D0F4E49" w14:textId="2999D8D2">
      <w:pPr>
        <w:spacing w:line="480" w:lineRule="auto"/>
        <w:ind w:firstLine="720"/>
      </w:pPr>
      <w:r w:rsidR="76AD2AF9">
        <w:rPr/>
        <w:t>As I studied this graphic</w:t>
      </w:r>
      <w:r w:rsidR="5246F54F">
        <w:rPr/>
        <w:t xml:space="preserve"> </w:t>
      </w:r>
      <w:r w:rsidRPr="33BB72CD" w:rsidR="5246F54F">
        <w:rPr>
          <w:i w:val="1"/>
          <w:iCs w:val="1"/>
        </w:rPr>
        <w:t>(Appendix A3)</w:t>
      </w:r>
      <w:r w:rsidR="76AD2AF9">
        <w:rPr/>
        <w:t>, I summarized that each of these attributes has a laye</w:t>
      </w:r>
      <w:r w:rsidR="76AD2AF9">
        <w:rPr/>
        <w:t xml:space="preserve">r </w:t>
      </w:r>
      <w:r w:rsidR="5074F4A8">
        <w:rPr/>
        <w:t>impact</w:t>
      </w:r>
      <w:r w:rsidR="5074F4A8">
        <w:rPr/>
        <w:t>ed</w:t>
      </w:r>
      <w:r w:rsidR="76AD2AF9">
        <w:rPr/>
        <w:t xml:space="preserve"> by personal perspective</w:t>
      </w:r>
      <w:r w:rsidR="32586F93">
        <w:rPr/>
        <w:t>s</w:t>
      </w:r>
      <w:r w:rsidR="76AD2AF9">
        <w:rPr/>
        <w:t xml:space="preserve"> within the medical community. Perspectives about discipline, ‘appropriate’ behavior</w:t>
      </w:r>
      <w:r w:rsidR="40DDA6C6">
        <w:rPr/>
        <w:t xml:space="preserve"> (</w:t>
      </w:r>
      <w:r w:rsidR="60424C2F">
        <w:rPr/>
        <w:t>Epstein</w:t>
      </w:r>
      <w:r w:rsidR="2B632801">
        <w:rPr/>
        <w:t xml:space="preserve"> et al.</w:t>
      </w:r>
      <w:r w:rsidR="60424C2F">
        <w:rPr/>
        <w:t xml:space="preserve">, 2005; </w:t>
      </w:r>
      <w:r w:rsidR="40DDA6C6">
        <w:rPr/>
        <w:t>Kang and Harvey, 2020)</w:t>
      </w:r>
      <w:r w:rsidR="76AD2AF9">
        <w:rPr/>
        <w:t>, biases</w:t>
      </w:r>
      <w:r w:rsidR="4DFF3A5E">
        <w:rPr/>
        <w:t xml:space="preserve">, </w:t>
      </w:r>
      <w:r w:rsidR="6D3C0F82">
        <w:rPr/>
        <w:t>stereotypy,</w:t>
      </w:r>
      <w:r w:rsidR="2A091EFF">
        <w:rPr/>
        <w:t xml:space="preserve"> and beliefs about ethnic groups</w:t>
      </w:r>
      <w:r w:rsidR="76AD2AF9">
        <w:rPr/>
        <w:t xml:space="preserve">, and perspectives on troubling history all impact how black people perceive, </w:t>
      </w:r>
      <w:r w:rsidR="38152356">
        <w:rPr/>
        <w:t>trust,</w:t>
      </w:r>
      <w:r w:rsidR="76AD2AF9">
        <w:rPr/>
        <w:t xml:space="preserve"> or distrust the medical community</w:t>
      </w:r>
      <w:r w:rsidR="7B94DCF4">
        <w:rPr/>
        <w:t xml:space="preserve"> (Bussing et. al, 2003</w:t>
      </w:r>
      <w:r w:rsidR="7B94DCF4">
        <w:rPr/>
        <w:t xml:space="preserve">; </w:t>
      </w:r>
      <w:r w:rsidR="7B94DCF4">
        <w:rPr/>
        <w:t>dosRe</w:t>
      </w:r>
      <w:r w:rsidR="7B94DCF4">
        <w:rPr/>
        <w:t>is</w:t>
      </w:r>
      <w:r w:rsidR="7B94DCF4">
        <w:rPr/>
        <w:t xml:space="preserve"> et. al, 2007)</w:t>
      </w:r>
      <w:r w:rsidR="76AD2AF9">
        <w:rPr/>
        <w:t xml:space="preserve">, and </w:t>
      </w:r>
      <w:r w:rsidR="13BCBC51">
        <w:rPr/>
        <w:t>react</w:t>
      </w:r>
      <w:r w:rsidR="76AD2AF9">
        <w:rPr/>
        <w:t xml:space="preserve"> after receiving a disability diagnosis. This is the </w:t>
      </w:r>
      <w:r w:rsidRPr="33BB72CD" w:rsidR="76AD2AF9">
        <w:rPr>
          <w:i w:val="1"/>
          <w:iCs w:val="1"/>
        </w:rPr>
        <w:t>thread</w:t>
      </w:r>
      <w:r w:rsidR="76AD2AF9">
        <w:rPr/>
        <w:t xml:space="preserve"> that I like to refer to</w:t>
      </w:r>
      <w:r w:rsidR="1270C132">
        <w:rPr/>
        <w:t>. Still,</w:t>
      </w:r>
      <w:r w:rsidR="76AD2AF9">
        <w:rPr/>
        <w:t xml:space="preserve"> it has not been until now that I </w:t>
      </w:r>
      <w:r w:rsidR="224C653A">
        <w:rPr/>
        <w:t>understand</w:t>
      </w:r>
      <w:r w:rsidR="0EFEC311">
        <w:rPr/>
        <w:t xml:space="preserve"> </w:t>
      </w:r>
      <w:r w:rsidR="76AD2AF9">
        <w:rPr/>
        <w:t xml:space="preserve">intersectionality and </w:t>
      </w:r>
      <w:r w:rsidR="18792A9C">
        <w:rPr/>
        <w:t xml:space="preserve">desire to research Black </w:t>
      </w:r>
      <w:r w:rsidR="52984D1A">
        <w:rPr/>
        <w:t>caregivers</w:t>
      </w:r>
      <w:r w:rsidR="52984D1A">
        <w:rPr/>
        <w:t>'</w:t>
      </w:r>
      <w:r w:rsidR="18792A9C">
        <w:rPr/>
        <w:t xml:space="preserve"> </w:t>
      </w:r>
      <w:r w:rsidR="18792A9C">
        <w:rPr/>
        <w:t>perceptio</w:t>
      </w:r>
      <w:r w:rsidR="18792A9C">
        <w:rPr/>
        <w:t>ns</w:t>
      </w:r>
      <w:r w:rsidR="18792A9C">
        <w:rPr/>
        <w:t xml:space="preserve"> of ASD symptoms and how </w:t>
      </w:r>
      <w:r w:rsidR="59C63FAA">
        <w:rPr/>
        <w:t>thos</w:t>
      </w:r>
      <w:r w:rsidR="59C63FAA">
        <w:rPr/>
        <w:t xml:space="preserve">e </w:t>
      </w:r>
      <w:r w:rsidR="59C63FAA">
        <w:rPr/>
        <w:t>influenc</w:t>
      </w:r>
      <w:r w:rsidR="59C63FAA">
        <w:rPr/>
        <w:t>es</w:t>
      </w:r>
      <w:r w:rsidR="59C63FAA">
        <w:rPr/>
        <w:t xml:space="preserve"> recommendations</w:t>
      </w:r>
      <w:r w:rsidR="18792A9C">
        <w:rPr/>
        <w:t xml:space="preserve"> for related services and interventions. </w:t>
      </w:r>
      <w:r w:rsidR="76AD2AF9">
        <w:rPr/>
        <w:t xml:space="preserve">I find immense fulfillment in every IEP meeting, where I help a tearful parent understand their child’s disability, assure them that their </w:t>
      </w:r>
      <w:r w:rsidR="7978892F">
        <w:rPr/>
        <w:t xml:space="preserve">child </w:t>
      </w:r>
      <w:r w:rsidR="76AD2AF9">
        <w:rPr/>
        <w:t xml:space="preserve">is </w:t>
      </w:r>
      <w:r w:rsidR="3995C3F1">
        <w:rPr/>
        <w:t>perfect</w:t>
      </w:r>
      <w:r w:rsidR="76AD2AF9">
        <w:rPr/>
        <w:t xml:space="preserve"> just as they are, and connect them to resources t</w:t>
      </w:r>
      <w:r w:rsidR="76AD2AF9">
        <w:rPr/>
        <w:t xml:space="preserve">o </w:t>
      </w:r>
      <w:r w:rsidR="76AD2AF9">
        <w:rPr/>
        <w:t>assi</w:t>
      </w:r>
      <w:r w:rsidR="76AD2AF9">
        <w:rPr/>
        <w:t>st</w:t>
      </w:r>
      <w:r w:rsidR="76AD2AF9">
        <w:rPr/>
        <w:t xml:space="preserve"> the family in understanding the diagnosis and supporting their child. I feel a sense of calling to educate and encourage my community around understanding</w:t>
      </w:r>
      <w:r w:rsidR="54B4D20E">
        <w:rPr/>
        <w:t xml:space="preserve"> </w:t>
      </w:r>
      <w:r w:rsidR="6B429DE1">
        <w:rPr/>
        <w:t>disability, finding</w:t>
      </w:r>
      <w:r w:rsidR="76AD2AF9">
        <w:rPr/>
        <w:t xml:space="preserve"> power in difference, knowing that a disability diagnosis is not a death sentence, but an opportunity to understand how your child’s brain works and learn the power and promise of </w:t>
      </w:r>
      <w:r w:rsidR="580FBD57">
        <w:rPr/>
        <w:t>adv</w:t>
      </w:r>
      <w:r w:rsidR="76AD2AF9">
        <w:rPr/>
        <w:t>ocacy.</w:t>
      </w:r>
      <w:r w:rsidR="70581F56">
        <w:rPr/>
        <w:t xml:space="preserve"> I understand that early identification and programming for a child educationally is critical to making educational gains. This research will expose common beli</w:t>
      </w:r>
      <w:r w:rsidR="2E37FA9D">
        <w:rPr/>
        <w:t>efs that caregivers may hold that limit care.</w:t>
      </w:r>
    </w:p>
    <w:p w:rsidR="548C78CC" w:rsidP="32097814" w:rsidRDefault="548C78CC" w14:paraId="4AA7FAAC" w14:textId="721EFE3D">
      <w:pPr>
        <w:spacing w:line="480" w:lineRule="auto"/>
        <w:ind w:firstLine="720"/>
      </w:pPr>
      <w:r w:rsidR="00C96126">
        <w:rPr/>
        <w:t xml:space="preserve">By far, </w:t>
      </w:r>
      <w:r w:rsidR="0322ADFB">
        <w:rPr/>
        <w:t>independent</w:t>
      </w:r>
      <w:r w:rsidR="00C96126">
        <w:rPr/>
        <w:t xml:space="preserve"> studies and research </w:t>
      </w:r>
      <w:r w:rsidR="2C7F2135">
        <w:rPr/>
        <w:t>studies</w:t>
      </w:r>
      <w:r w:rsidR="00C96126">
        <w:rPr/>
        <w:t xml:space="preserve"> have proven invaluable in shaping my research interests. It is my desire to conduct a qualitative research study, utilizing narrative inquiry, </w:t>
      </w:r>
      <w:r w:rsidR="00C96126">
        <w:rPr/>
        <w:t xml:space="preserve">to interview </w:t>
      </w:r>
      <w:r w:rsidR="25D0C754">
        <w:rPr/>
        <w:t>Black</w:t>
      </w:r>
      <w:r w:rsidR="360D0295">
        <w:rPr/>
        <w:t xml:space="preserve"> </w:t>
      </w:r>
      <w:r w:rsidR="00C96126">
        <w:rPr/>
        <w:t xml:space="preserve">families of children with Autism diagnoses. I want to research their </w:t>
      </w:r>
      <w:r w:rsidR="00C96126">
        <w:rPr/>
        <w:t>initial</w:t>
      </w:r>
      <w:r w:rsidR="00C96126">
        <w:rPr/>
        <w:t xml:space="preserve"> </w:t>
      </w:r>
      <w:r w:rsidR="00C96126">
        <w:rPr/>
        <w:t>perception</w:t>
      </w:r>
      <w:r w:rsidR="00C96126">
        <w:rPr/>
        <w:t xml:space="preserve">, and the impact of those </w:t>
      </w:r>
      <w:r w:rsidR="00C96126">
        <w:rPr/>
        <w:t>perceptions</w:t>
      </w:r>
      <w:r w:rsidR="00C96126">
        <w:rPr/>
        <w:t xml:space="preserve"> on </w:t>
      </w:r>
      <w:r w:rsidR="007676C1">
        <w:rPr/>
        <w:t xml:space="preserve">selection of </w:t>
      </w:r>
      <w:r w:rsidR="41778E70">
        <w:rPr/>
        <w:t xml:space="preserve">related services and interventions. </w:t>
      </w:r>
    </w:p>
    <w:p w:rsidR="32097814" w:rsidRDefault="32097814" w14:paraId="58DF8162" w14:textId="489DB6C1">
      <w:r>
        <w:br w:type="page"/>
      </w:r>
    </w:p>
    <w:p w:rsidR="748BEC85" w:rsidP="19947A6B" w:rsidRDefault="215041E1" w14:paraId="263C3DDE" w14:textId="570A357C">
      <w:pPr>
        <w:spacing w:line="480" w:lineRule="auto"/>
        <w:jc w:val="center"/>
        <w:rPr>
          <w:b/>
          <w:bCs/>
        </w:rPr>
      </w:pPr>
      <w:r w:rsidRPr="19947A6B">
        <w:rPr>
          <w:b/>
          <w:bCs/>
        </w:rPr>
        <w:t xml:space="preserve">Appendix </w:t>
      </w:r>
      <w:r w:rsidRPr="19947A6B" w:rsidR="0C208CA4">
        <w:rPr>
          <w:b/>
          <w:bCs/>
        </w:rPr>
        <w:t>A</w:t>
      </w:r>
    </w:p>
    <w:p w:rsidR="548C78CC" w:rsidP="548C78CC" w:rsidRDefault="27932F4C" w14:paraId="63E240D5" w14:textId="32B1D77D">
      <w:pPr>
        <w:spacing w:line="480" w:lineRule="auto"/>
        <w:jc w:val="center"/>
      </w:pPr>
      <w:r>
        <w:t>Classroom Management Culturally Responsive Self-Efficacy Survey Means</w:t>
      </w:r>
    </w:p>
    <w:p w:rsidR="548C78CC" w:rsidP="32097814" w:rsidRDefault="1D31FA1D" w14:paraId="09BE4C31" w14:textId="23626121">
      <w:pPr>
        <w:spacing w:line="480" w:lineRule="auto"/>
        <w:ind w:firstLine="720"/>
      </w:pPr>
      <w:r w:rsidR="1D31FA1D">
        <w:rPr/>
        <w:t xml:space="preserve">This data collection on preservice teachers was used as a diagnostic measure to </w:t>
      </w:r>
      <w:r w:rsidR="1D31FA1D">
        <w:rPr/>
        <w:t>identify</w:t>
      </w:r>
      <w:r w:rsidR="1D31FA1D">
        <w:rPr/>
        <w:t xml:space="preserve"> tasks that educators were most efficacious and least efficacious implementing. Using a </w:t>
      </w:r>
      <w:r w:rsidR="5DE65057">
        <w:rPr/>
        <w:t>Likert</w:t>
      </w:r>
      <w:r w:rsidR="1D31FA1D">
        <w:rPr/>
        <w:t xml:space="preserve"> scale, responses equated to </w:t>
      </w:r>
      <w:r w:rsidRPr="726FEA4D" w:rsidR="1D31FA1D">
        <w:rPr>
          <w:i w:val="1"/>
          <w:iCs w:val="1"/>
        </w:rPr>
        <w:t>completely confident</w:t>
      </w:r>
      <w:r w:rsidR="1D31FA1D">
        <w:rPr/>
        <w:t xml:space="preserve">, </w:t>
      </w:r>
      <w:r w:rsidRPr="726FEA4D" w:rsidR="1D31FA1D">
        <w:rPr>
          <w:i w:val="1"/>
          <w:iCs w:val="1"/>
        </w:rPr>
        <w:t>moderately confident</w:t>
      </w:r>
      <w:r w:rsidR="1D31FA1D">
        <w:rPr/>
        <w:t xml:space="preserve">, and </w:t>
      </w:r>
      <w:r w:rsidRPr="726FEA4D" w:rsidR="1D31FA1D">
        <w:rPr>
          <w:i w:val="1"/>
          <w:iCs w:val="1"/>
        </w:rPr>
        <w:t>not confident at all</w:t>
      </w:r>
      <w:r w:rsidR="1D31FA1D">
        <w:rPr/>
        <w:t xml:space="preserve"> across 35 reflexive questions. The data was </w:t>
      </w:r>
      <w:r w:rsidR="620B4A62">
        <w:rPr/>
        <w:t>analyzed,</w:t>
      </w:r>
      <w:r w:rsidR="1D31FA1D">
        <w:rPr/>
        <w:t xml:space="preserve"> and the strength index and mean were calculated. Follow up interviews were coded for emergent themes. The self-efficacy strength index was calculated by taking the respondents (R) total score and dividing it by the number of items on the self-efficacy measure. This measure </w:t>
      </w:r>
      <w:r w:rsidR="1D31FA1D">
        <w:rPr/>
        <w:t>indicates</w:t>
      </w:r>
      <w:r w:rsidR="1D31FA1D">
        <w:rPr/>
        <w:t xml:space="preserve"> the strength of each teacher’s beliefs across the measured domain.</w:t>
      </w:r>
    </w:p>
    <w:tbl>
      <w:tblPr>
        <w:tblW w:w="0" w:type="auto"/>
        <w:tblLayout w:type="fixed"/>
        <w:tblLook w:val="0600" w:firstRow="0" w:lastRow="0" w:firstColumn="0" w:lastColumn="0" w:noHBand="1" w:noVBand="1"/>
      </w:tblPr>
      <w:tblGrid>
        <w:gridCol w:w="8561"/>
        <w:gridCol w:w="799"/>
      </w:tblGrid>
      <w:tr w:rsidR="0D03A42B" w:rsidTr="33BB72CD" w14:paraId="7BC20A21" w14:textId="77777777">
        <w:trPr>
          <w:trHeight w:val="360"/>
        </w:trPr>
        <w:tc>
          <w:tcPr>
            <w:tcW w:w="8561"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5E359638" w14:textId="3CD97FD2">
            <w:pPr>
              <w:ind w:left="-20" w:right="-20"/>
              <w:rPr>
                <w:color w:val="000000" w:themeColor="text1"/>
                <w:sz w:val="20"/>
                <w:szCs w:val="20"/>
              </w:rPr>
            </w:pPr>
            <w:r w:rsidRPr="19947A6B">
              <w:rPr>
                <w:b/>
                <w:bCs/>
                <w:color w:val="000000" w:themeColor="text1"/>
                <w:sz w:val="20"/>
                <w:szCs w:val="20"/>
              </w:rPr>
              <w:t>Items</w:t>
            </w:r>
            <w:r w:rsidRPr="19947A6B">
              <w:rPr>
                <w:color w:val="000000" w:themeColor="text1"/>
                <w:sz w:val="20"/>
                <w:szCs w:val="20"/>
              </w:rPr>
              <w:t xml:space="preserve"> </w:t>
            </w:r>
          </w:p>
        </w:tc>
        <w:tc>
          <w:tcPr>
            <w:tcW w:w="799"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62502C01" w14:textId="77777777">
            <w:pPr>
              <w:ind w:left="-20" w:right="-20"/>
              <w:rPr>
                <w:color w:val="000000" w:themeColor="text1"/>
                <w:sz w:val="20"/>
                <w:szCs w:val="20"/>
              </w:rPr>
            </w:pPr>
            <w:r w:rsidRPr="19947A6B">
              <w:rPr>
                <w:b/>
                <w:bCs/>
                <w:color w:val="000000" w:themeColor="text1"/>
                <w:sz w:val="20"/>
                <w:szCs w:val="20"/>
              </w:rPr>
              <w:t>Mean Score</w:t>
            </w:r>
            <w:r w:rsidRPr="19947A6B">
              <w:rPr>
                <w:color w:val="000000" w:themeColor="text1"/>
                <w:sz w:val="20"/>
                <w:szCs w:val="20"/>
              </w:rPr>
              <w:t xml:space="preserve"> </w:t>
            </w:r>
          </w:p>
          <w:p w:rsidR="00C81ACA" w:rsidP="19947A6B" w:rsidRDefault="00C81ACA" w14:paraId="50E84609" w14:textId="6D2CC7EE">
            <w:pPr>
              <w:ind w:left="-20" w:right="-20"/>
              <w:rPr>
                <w:color w:val="000000" w:themeColor="text1"/>
                <w:sz w:val="20"/>
                <w:szCs w:val="20"/>
              </w:rPr>
            </w:pPr>
            <w:r w:rsidRPr="33BB72CD" w:rsidR="2CB2FC84">
              <w:rPr>
                <w:color w:val="000000" w:themeColor="text1" w:themeTint="FF" w:themeShade="FF"/>
                <w:sz w:val="20"/>
                <w:szCs w:val="20"/>
              </w:rPr>
              <w:t>(n</w:t>
            </w:r>
            <w:r w:rsidRPr="33BB72CD" w:rsidR="2CB2FC84">
              <w:rPr>
                <w:color w:val="000000" w:themeColor="text1" w:themeTint="FF" w:themeShade="FF"/>
                <w:sz w:val="20"/>
                <w:szCs w:val="20"/>
              </w:rPr>
              <w:t xml:space="preserve">= </w:t>
            </w:r>
            <w:r w:rsidRPr="33BB72CD" w:rsidR="13A89479">
              <w:rPr>
                <w:color w:val="000000" w:themeColor="text1" w:themeTint="FF" w:themeShade="FF"/>
                <w:sz w:val="20"/>
                <w:szCs w:val="20"/>
              </w:rPr>
              <w:t>40</w:t>
            </w:r>
            <w:r w:rsidRPr="33BB72CD" w:rsidR="2CB2FC84">
              <w:rPr>
                <w:color w:val="000000" w:themeColor="text1" w:themeTint="FF" w:themeShade="FF"/>
                <w:sz w:val="20"/>
                <w:szCs w:val="20"/>
              </w:rPr>
              <w:t>)</w:t>
            </w:r>
          </w:p>
        </w:tc>
      </w:tr>
      <w:tr w:rsidR="0D03A42B" w:rsidTr="33BB72CD" w14:paraId="6431CED9" w14:textId="77777777">
        <w:trPr>
          <w:trHeight w:val="420"/>
        </w:trPr>
        <w:tc>
          <w:tcPr>
            <w:tcW w:w="8561"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22D3D19F" w14:textId="5012B45A">
            <w:pPr>
              <w:ind w:left="-20" w:right="-20"/>
              <w:rPr>
                <w:color w:val="202124"/>
                <w:sz w:val="20"/>
                <w:szCs w:val="20"/>
              </w:rPr>
            </w:pPr>
            <w:r w:rsidRPr="19947A6B">
              <w:rPr>
                <w:color w:val="202124"/>
                <w:sz w:val="20"/>
                <w:szCs w:val="20"/>
              </w:rPr>
              <w:t xml:space="preserve">I am able to assess students' behavior with the knowledge that acceptable school behaviors may not match those that are acceptable with a student's home culture.  </w:t>
            </w:r>
          </w:p>
        </w:tc>
        <w:tc>
          <w:tcPr>
            <w:tcW w:w="799"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5720C688" w14:textId="7F906A0A">
            <w:pPr>
              <w:ind w:left="-20" w:right="-20"/>
              <w:rPr>
                <w:color w:val="000000" w:themeColor="text1"/>
                <w:sz w:val="20"/>
                <w:szCs w:val="20"/>
              </w:rPr>
            </w:pPr>
            <w:r w:rsidRPr="19947A6B">
              <w:rPr>
                <w:color w:val="000000" w:themeColor="text1"/>
                <w:sz w:val="20"/>
                <w:szCs w:val="20"/>
              </w:rPr>
              <w:t xml:space="preserve">79.46 </w:t>
            </w:r>
          </w:p>
        </w:tc>
      </w:tr>
      <w:tr w:rsidR="0D03A42B" w:rsidTr="33BB72CD" w14:paraId="0D701425"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2CA76B5E" w14:textId="296F7A8A">
            <w:pPr>
              <w:ind w:left="-20" w:right="-20"/>
              <w:rPr>
                <w:color w:val="202124"/>
                <w:sz w:val="20"/>
                <w:szCs w:val="20"/>
              </w:rPr>
            </w:pPr>
            <w:r w:rsidRPr="19947A6B">
              <w:rPr>
                <w:color w:val="202124"/>
                <w:sz w:val="20"/>
                <w:szCs w:val="20"/>
              </w:rPr>
              <w:t xml:space="preserve">I am able to use a culturally responsive discipline practices to alter the behavior of a student who is bring defiant.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7B8B4EDA" w14:textId="7429CA33">
            <w:pPr>
              <w:ind w:left="-20" w:right="-20"/>
              <w:rPr>
                <w:color w:val="000000" w:themeColor="text1"/>
                <w:sz w:val="20"/>
                <w:szCs w:val="20"/>
              </w:rPr>
            </w:pPr>
            <w:r w:rsidRPr="19947A6B">
              <w:rPr>
                <w:color w:val="000000" w:themeColor="text1"/>
                <w:sz w:val="20"/>
                <w:szCs w:val="20"/>
              </w:rPr>
              <w:t xml:space="preserve">77.23 </w:t>
            </w:r>
          </w:p>
        </w:tc>
      </w:tr>
      <w:tr w:rsidR="0D03A42B" w:rsidTr="33BB72CD" w14:paraId="628B9B17"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3317E73B" w14:textId="42D48EBC">
            <w:pPr>
              <w:ind w:left="-20" w:right="-20"/>
              <w:rPr>
                <w:color w:val="202124"/>
                <w:sz w:val="20"/>
                <w:szCs w:val="20"/>
              </w:rPr>
            </w:pPr>
            <w:r w:rsidRPr="19947A6B">
              <w:rPr>
                <w:color w:val="202124"/>
                <w:sz w:val="20"/>
                <w:szCs w:val="20"/>
              </w:rPr>
              <w:t xml:space="preserve">I am able to create a learning environment that conveys respect for the cultures of all students in my classroom.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C2FF062" w14:textId="393EC802">
            <w:pPr>
              <w:ind w:left="-20" w:right="-20"/>
              <w:rPr>
                <w:color w:val="000000" w:themeColor="text1"/>
                <w:sz w:val="20"/>
                <w:szCs w:val="20"/>
              </w:rPr>
            </w:pPr>
            <w:r w:rsidRPr="19947A6B">
              <w:rPr>
                <w:color w:val="000000" w:themeColor="text1"/>
                <w:sz w:val="20"/>
                <w:szCs w:val="20"/>
              </w:rPr>
              <w:t xml:space="preserve">89.30 </w:t>
            </w:r>
          </w:p>
        </w:tc>
      </w:tr>
      <w:tr w:rsidR="0D03A42B" w:rsidTr="33BB72CD" w14:paraId="7219743B"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76B7192A" w14:textId="322155AD">
            <w:pPr>
              <w:ind w:left="-20" w:right="-20"/>
              <w:rPr>
                <w:color w:val="202124"/>
                <w:sz w:val="20"/>
                <w:szCs w:val="20"/>
              </w:rPr>
            </w:pPr>
            <w:r w:rsidRPr="19947A6B">
              <w:rPr>
                <w:color w:val="202124"/>
                <w:sz w:val="20"/>
                <w:szCs w:val="20"/>
              </w:rPr>
              <w:t xml:space="preserve">I am able to use my knowledge of students' cultural background to create a culturally compatible learning environment.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F97B6A4" w14:textId="52AA2C9C">
            <w:pPr>
              <w:ind w:left="-20" w:right="-20"/>
              <w:rPr>
                <w:color w:val="000000" w:themeColor="text1"/>
                <w:sz w:val="20"/>
                <w:szCs w:val="20"/>
              </w:rPr>
            </w:pPr>
            <w:r w:rsidRPr="19947A6B">
              <w:rPr>
                <w:color w:val="000000" w:themeColor="text1"/>
                <w:sz w:val="20"/>
                <w:szCs w:val="20"/>
              </w:rPr>
              <w:t xml:space="preserve">81.46 </w:t>
            </w:r>
          </w:p>
        </w:tc>
      </w:tr>
      <w:tr w:rsidR="0D03A42B" w:rsidTr="33BB72CD" w14:paraId="09780E34"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12221D07" w14:textId="7EC02146">
            <w:pPr>
              <w:ind w:left="-20" w:right="-20"/>
              <w:rPr>
                <w:color w:val="202124"/>
                <w:sz w:val="20"/>
                <w:szCs w:val="20"/>
              </w:rPr>
            </w:pPr>
            <w:r w:rsidRPr="19947A6B">
              <w:rPr>
                <w:color w:val="202124"/>
                <w:sz w:val="20"/>
                <w:szCs w:val="20"/>
              </w:rPr>
              <w:t xml:space="preserve">I am able to establish high behavioral expectations that encourage students to produce high quality work.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71D1E11" w14:textId="22A810A0">
            <w:pPr>
              <w:ind w:left="-20" w:right="-20"/>
              <w:rPr>
                <w:color w:val="000000" w:themeColor="text1"/>
                <w:sz w:val="20"/>
                <w:szCs w:val="20"/>
              </w:rPr>
            </w:pPr>
            <w:r w:rsidRPr="19947A6B">
              <w:rPr>
                <w:color w:val="000000" w:themeColor="text1"/>
                <w:sz w:val="20"/>
                <w:szCs w:val="20"/>
              </w:rPr>
              <w:t xml:space="preserve">82.43 </w:t>
            </w:r>
          </w:p>
        </w:tc>
      </w:tr>
      <w:tr w:rsidR="0D03A42B" w:rsidTr="33BB72CD" w14:paraId="4BB4ED62"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146EE2F6" w14:textId="199D08F9">
            <w:pPr>
              <w:ind w:left="-20" w:right="-20"/>
              <w:rPr>
                <w:color w:val="202124"/>
                <w:sz w:val="20"/>
                <w:szCs w:val="20"/>
              </w:rPr>
            </w:pPr>
            <w:r w:rsidRPr="19947A6B">
              <w:rPr>
                <w:color w:val="202124"/>
                <w:sz w:val="20"/>
                <w:szCs w:val="20"/>
              </w:rPr>
              <w:t xml:space="preserve">I am able to clearly communicate classroom policies.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E6967DC" w14:textId="0B3D313C">
            <w:pPr>
              <w:ind w:left="-20" w:right="-20"/>
              <w:rPr>
                <w:color w:val="000000" w:themeColor="text1"/>
                <w:sz w:val="20"/>
                <w:szCs w:val="20"/>
              </w:rPr>
            </w:pPr>
            <w:r w:rsidRPr="19947A6B">
              <w:rPr>
                <w:color w:val="000000" w:themeColor="text1"/>
                <w:sz w:val="20"/>
                <w:szCs w:val="20"/>
              </w:rPr>
              <w:t xml:space="preserve">92.89 </w:t>
            </w:r>
          </w:p>
        </w:tc>
      </w:tr>
      <w:tr w:rsidR="0D03A42B" w:rsidTr="33BB72CD" w14:paraId="116115A8"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62B8F1F3" w14:textId="4151E78E">
            <w:pPr>
              <w:ind w:left="-20" w:right="-20"/>
              <w:rPr>
                <w:color w:val="202124"/>
                <w:sz w:val="20"/>
                <w:szCs w:val="20"/>
              </w:rPr>
            </w:pPr>
            <w:r w:rsidRPr="19947A6B">
              <w:rPr>
                <w:color w:val="202124"/>
                <w:sz w:val="20"/>
                <w:szCs w:val="20"/>
              </w:rPr>
              <w:t xml:space="preserve">I am able to structure the learning environment so that all students feel like a valued member of the learning community.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2443F11A" w14:textId="359022AC">
            <w:pPr>
              <w:ind w:left="-20" w:right="-20"/>
              <w:rPr>
                <w:color w:val="000000" w:themeColor="text1"/>
                <w:sz w:val="20"/>
                <w:szCs w:val="20"/>
              </w:rPr>
            </w:pPr>
            <w:r w:rsidRPr="19947A6B">
              <w:rPr>
                <w:color w:val="000000" w:themeColor="text1"/>
                <w:sz w:val="20"/>
                <w:szCs w:val="20"/>
              </w:rPr>
              <w:t xml:space="preserve">90.66 </w:t>
            </w:r>
          </w:p>
        </w:tc>
      </w:tr>
      <w:tr w:rsidR="0D03A42B" w:rsidTr="33BB72CD" w14:paraId="71BBC056"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50555CA" w14:textId="622F34A1">
            <w:pPr>
              <w:ind w:left="-20" w:right="-20"/>
              <w:rPr>
                <w:color w:val="202124"/>
                <w:sz w:val="20"/>
                <w:szCs w:val="20"/>
              </w:rPr>
            </w:pPr>
            <w:r w:rsidRPr="19947A6B">
              <w:rPr>
                <w:color w:val="202124"/>
                <w:sz w:val="20"/>
                <w:szCs w:val="20"/>
              </w:rPr>
              <w:t xml:space="preserve">I am able to use what I know about my students' cultural background to develop an effective learning environment.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403A6114" w14:textId="38F3D035">
            <w:pPr>
              <w:ind w:left="-20" w:right="-20"/>
              <w:rPr>
                <w:color w:val="000000" w:themeColor="text1"/>
                <w:sz w:val="20"/>
                <w:szCs w:val="20"/>
              </w:rPr>
            </w:pPr>
            <w:r w:rsidRPr="19947A6B">
              <w:rPr>
                <w:color w:val="000000" w:themeColor="text1"/>
                <w:sz w:val="20"/>
                <w:szCs w:val="20"/>
              </w:rPr>
              <w:t xml:space="preserve">87.61 </w:t>
            </w:r>
          </w:p>
        </w:tc>
      </w:tr>
      <w:tr w:rsidR="0D03A42B" w:rsidTr="33BB72CD" w14:paraId="0917DFD4"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1C174F36" w14:textId="3AE642AA">
            <w:pPr>
              <w:ind w:left="-20" w:right="-20"/>
              <w:rPr>
                <w:color w:val="202124"/>
                <w:sz w:val="20"/>
                <w:szCs w:val="20"/>
              </w:rPr>
            </w:pPr>
            <w:r w:rsidRPr="19947A6B">
              <w:rPr>
                <w:color w:val="202124"/>
                <w:sz w:val="20"/>
                <w:szCs w:val="20"/>
              </w:rPr>
              <w:t xml:space="preserve">I am able to encourage students to work together on classroom tasks, when appropriate.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15DDD833" w14:textId="4BFDE5AA">
            <w:pPr>
              <w:ind w:left="-20" w:right="-20"/>
              <w:rPr>
                <w:color w:val="000000" w:themeColor="text1"/>
                <w:sz w:val="20"/>
                <w:szCs w:val="20"/>
              </w:rPr>
            </w:pPr>
            <w:r w:rsidRPr="19947A6B">
              <w:rPr>
                <w:color w:val="000000" w:themeColor="text1"/>
                <w:sz w:val="20"/>
                <w:szCs w:val="20"/>
              </w:rPr>
              <w:t xml:space="preserve">89.35 </w:t>
            </w:r>
          </w:p>
        </w:tc>
      </w:tr>
      <w:tr w:rsidR="0D03A42B" w:rsidTr="33BB72CD" w14:paraId="199B63C3"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19FC2041" w14:textId="2096F804">
            <w:pPr>
              <w:ind w:left="-20" w:right="-20"/>
              <w:rPr>
                <w:color w:val="202124"/>
                <w:sz w:val="20"/>
                <w:szCs w:val="20"/>
              </w:rPr>
            </w:pPr>
            <w:r w:rsidRPr="19947A6B">
              <w:rPr>
                <w:color w:val="202124"/>
                <w:sz w:val="20"/>
                <w:szCs w:val="20"/>
              </w:rPr>
              <w:t xml:space="preserve">I am able to design the classroom in a way that communicates respect for diversity.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6E1E2B80" w14:textId="419BF13C">
            <w:pPr>
              <w:ind w:left="-20" w:right="-20"/>
              <w:rPr>
                <w:color w:val="000000" w:themeColor="text1"/>
                <w:sz w:val="20"/>
                <w:szCs w:val="20"/>
              </w:rPr>
            </w:pPr>
            <w:r w:rsidRPr="19947A6B">
              <w:rPr>
                <w:color w:val="000000" w:themeColor="text1"/>
                <w:sz w:val="20"/>
                <w:szCs w:val="20"/>
              </w:rPr>
              <w:t xml:space="preserve">92.53 </w:t>
            </w:r>
          </w:p>
        </w:tc>
      </w:tr>
      <w:tr w:rsidR="0D03A42B" w:rsidTr="33BB72CD" w14:paraId="1D70561C"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340FA72C" w14:textId="1C08B94D">
            <w:pPr>
              <w:ind w:left="-20" w:right="-20"/>
              <w:rPr>
                <w:color w:val="202124"/>
                <w:sz w:val="20"/>
                <w:szCs w:val="20"/>
              </w:rPr>
            </w:pPr>
            <w:r w:rsidRPr="19947A6B">
              <w:rPr>
                <w:color w:val="202124"/>
                <w:sz w:val="20"/>
                <w:szCs w:val="20"/>
              </w:rPr>
              <w:t xml:space="preserve">I am able to use strategies that will hold students accountable for producing high quality work.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96E93E7" w14:textId="69FA5ADB">
            <w:pPr>
              <w:ind w:left="-20" w:right="-20"/>
              <w:rPr>
                <w:color w:val="000000" w:themeColor="text1"/>
                <w:sz w:val="20"/>
                <w:szCs w:val="20"/>
              </w:rPr>
            </w:pPr>
            <w:r w:rsidRPr="19947A6B">
              <w:rPr>
                <w:color w:val="000000" w:themeColor="text1"/>
                <w:sz w:val="20"/>
                <w:szCs w:val="20"/>
              </w:rPr>
              <w:t xml:space="preserve">80.58 </w:t>
            </w:r>
          </w:p>
        </w:tc>
      </w:tr>
      <w:tr w:rsidR="0D03A42B" w:rsidTr="33BB72CD" w14:paraId="764AF5E5"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4C79F041" w14:textId="4A657D6F">
            <w:pPr>
              <w:ind w:left="-20" w:right="-20"/>
              <w:rPr>
                <w:color w:val="202124"/>
                <w:sz w:val="20"/>
                <w:szCs w:val="20"/>
              </w:rPr>
            </w:pPr>
            <w:r w:rsidRPr="19947A6B">
              <w:rPr>
                <w:color w:val="202124"/>
                <w:sz w:val="20"/>
                <w:szCs w:val="20"/>
              </w:rPr>
              <w:t xml:space="preserve">I am able to address inappropriate behavior without relying on traditional methods of discipline such as office referrals.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71550C25" w14:textId="6BBD0306">
            <w:pPr>
              <w:ind w:left="-20" w:right="-20"/>
              <w:rPr>
                <w:color w:val="000000" w:themeColor="text1"/>
                <w:sz w:val="20"/>
                <w:szCs w:val="20"/>
              </w:rPr>
            </w:pPr>
            <w:r w:rsidRPr="19947A6B">
              <w:rPr>
                <w:color w:val="000000" w:themeColor="text1"/>
                <w:sz w:val="20"/>
                <w:szCs w:val="20"/>
              </w:rPr>
              <w:t xml:space="preserve">83.69 </w:t>
            </w:r>
          </w:p>
        </w:tc>
      </w:tr>
      <w:tr w:rsidR="0D03A42B" w:rsidTr="33BB72CD" w14:paraId="4436775E"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25F3CE30" w14:textId="5A99EAD0">
            <w:pPr>
              <w:ind w:left="-20" w:right="-20"/>
              <w:rPr>
                <w:color w:val="202124"/>
                <w:sz w:val="20"/>
                <w:szCs w:val="20"/>
              </w:rPr>
            </w:pPr>
            <w:r w:rsidRPr="19947A6B">
              <w:rPr>
                <w:color w:val="202124"/>
                <w:sz w:val="20"/>
                <w:szCs w:val="20"/>
              </w:rPr>
              <w:t xml:space="preserve">I am able to critically analyze students' classroom behavior from a cross-cultural perspective.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25800057" w14:textId="6C0F8F2B">
            <w:pPr>
              <w:ind w:left="-20" w:right="-20"/>
              <w:rPr>
                <w:color w:val="000000" w:themeColor="text1"/>
                <w:sz w:val="20"/>
                <w:szCs w:val="20"/>
              </w:rPr>
            </w:pPr>
            <w:r w:rsidRPr="19947A6B">
              <w:rPr>
                <w:color w:val="000000" w:themeColor="text1"/>
                <w:sz w:val="20"/>
                <w:szCs w:val="20"/>
              </w:rPr>
              <w:t xml:space="preserve">82.53 </w:t>
            </w:r>
          </w:p>
        </w:tc>
      </w:tr>
      <w:tr w:rsidR="0D03A42B" w:rsidTr="33BB72CD" w14:paraId="1EB8F996"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360CC25B" w14:textId="7C0696F6">
            <w:pPr>
              <w:ind w:left="-20" w:right="-20"/>
              <w:rPr>
                <w:color w:val="202124"/>
                <w:sz w:val="20"/>
                <w:szCs w:val="20"/>
              </w:rPr>
            </w:pPr>
            <w:r w:rsidRPr="19947A6B">
              <w:rPr>
                <w:color w:val="202124"/>
                <w:sz w:val="20"/>
                <w:szCs w:val="20"/>
              </w:rPr>
              <w:t xml:space="preserve">I am able to modify lesson plans so that students remain actively engaged throughout the entire class period or lesson.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FEA0979" w14:textId="290F4C6E">
            <w:pPr>
              <w:ind w:left="-20" w:right="-20"/>
              <w:rPr>
                <w:color w:val="000000" w:themeColor="text1"/>
                <w:sz w:val="20"/>
                <w:szCs w:val="20"/>
              </w:rPr>
            </w:pPr>
            <w:r w:rsidRPr="19947A6B">
              <w:rPr>
                <w:color w:val="000000" w:themeColor="text1"/>
                <w:sz w:val="20"/>
                <w:szCs w:val="20"/>
              </w:rPr>
              <w:t xml:space="preserve">82.17 </w:t>
            </w:r>
          </w:p>
        </w:tc>
      </w:tr>
      <w:tr w:rsidR="0D03A42B" w:rsidTr="33BB72CD" w14:paraId="26D7070A"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B8CAF02" w14:textId="27C57C65">
            <w:pPr>
              <w:ind w:left="-20" w:right="-20"/>
              <w:rPr>
                <w:color w:val="202124"/>
                <w:sz w:val="20"/>
                <w:szCs w:val="20"/>
              </w:rPr>
            </w:pPr>
            <w:r w:rsidRPr="19947A6B">
              <w:rPr>
                <w:color w:val="202124"/>
                <w:sz w:val="20"/>
                <w:szCs w:val="20"/>
              </w:rPr>
              <w:t xml:space="preserve">I am able to redirect students' behavior without the use of coercive means (i.e., consequences or verbal reprimand).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49E945C5" w14:textId="1D0A69D8">
            <w:pPr>
              <w:ind w:left="-20" w:right="-20"/>
              <w:rPr>
                <w:color w:val="000000" w:themeColor="text1"/>
                <w:sz w:val="20"/>
                <w:szCs w:val="20"/>
              </w:rPr>
            </w:pPr>
            <w:r w:rsidRPr="19947A6B">
              <w:rPr>
                <w:color w:val="000000" w:themeColor="text1"/>
                <w:sz w:val="20"/>
                <w:szCs w:val="20"/>
              </w:rPr>
              <w:t xml:space="preserve">80.38 </w:t>
            </w:r>
          </w:p>
        </w:tc>
      </w:tr>
      <w:tr w:rsidR="0D03A42B" w:rsidTr="33BB72CD" w14:paraId="72726294"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2D778AFE" w14:textId="064D5287">
            <w:pPr>
              <w:ind w:left="-20" w:right="-20"/>
              <w:rPr>
                <w:color w:val="202124"/>
                <w:sz w:val="20"/>
                <w:szCs w:val="20"/>
              </w:rPr>
            </w:pPr>
            <w:r w:rsidRPr="19947A6B">
              <w:rPr>
                <w:color w:val="202124"/>
                <w:sz w:val="20"/>
                <w:szCs w:val="20"/>
              </w:rPr>
              <w:t xml:space="preserve">I am able to restructure the curriculum so that every child can succeed, regardless of their academic history.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095E8B5" w14:textId="298F93A3">
            <w:pPr>
              <w:ind w:left="-20" w:right="-20"/>
              <w:rPr>
                <w:color w:val="000000" w:themeColor="text1"/>
                <w:sz w:val="20"/>
                <w:szCs w:val="20"/>
              </w:rPr>
            </w:pPr>
            <w:r w:rsidRPr="19947A6B">
              <w:rPr>
                <w:color w:val="000000" w:themeColor="text1"/>
                <w:sz w:val="20"/>
                <w:szCs w:val="20"/>
              </w:rPr>
              <w:t xml:space="preserve">77.97 </w:t>
            </w:r>
          </w:p>
        </w:tc>
      </w:tr>
      <w:tr w:rsidR="0D03A42B" w:rsidTr="33BB72CD" w14:paraId="3994F7DA"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411F47E6" w14:textId="654DF871">
            <w:pPr>
              <w:ind w:left="-20" w:right="-20"/>
              <w:rPr>
                <w:color w:val="202124"/>
                <w:sz w:val="20"/>
                <w:szCs w:val="20"/>
              </w:rPr>
            </w:pPr>
            <w:r w:rsidRPr="19947A6B">
              <w:rPr>
                <w:color w:val="202124"/>
                <w:sz w:val="20"/>
                <w:szCs w:val="20"/>
              </w:rPr>
              <w:t xml:space="preserve">I am able to communicate with students using expressions that are familiar to them.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EDB383A" w14:textId="22017516">
            <w:pPr>
              <w:ind w:left="-20" w:right="-20"/>
              <w:rPr>
                <w:color w:val="000000" w:themeColor="text1"/>
                <w:sz w:val="20"/>
                <w:szCs w:val="20"/>
              </w:rPr>
            </w:pPr>
            <w:r w:rsidRPr="19947A6B">
              <w:rPr>
                <w:color w:val="000000" w:themeColor="text1"/>
                <w:sz w:val="20"/>
                <w:szCs w:val="20"/>
              </w:rPr>
              <w:t xml:space="preserve">81.58 </w:t>
            </w:r>
          </w:p>
        </w:tc>
      </w:tr>
      <w:tr w:rsidR="0D03A42B" w:rsidTr="33BB72CD" w14:paraId="1D557AAE"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5B7043EB" w14:textId="13EFFEFB">
            <w:pPr>
              <w:ind w:left="-20" w:right="-20"/>
              <w:rPr>
                <w:color w:val="202124"/>
                <w:sz w:val="20"/>
                <w:szCs w:val="20"/>
              </w:rPr>
            </w:pPr>
            <w:r w:rsidRPr="19947A6B">
              <w:rPr>
                <w:color w:val="202124"/>
                <w:sz w:val="20"/>
                <w:szCs w:val="20"/>
              </w:rPr>
              <w:t xml:space="preserve">I am able to personalize the classroom so that it is reflective of the cultural background of my students.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626E619B" w14:textId="1752A88E">
            <w:pPr>
              <w:ind w:left="-20" w:right="-20"/>
              <w:rPr>
                <w:color w:val="000000" w:themeColor="text1"/>
                <w:sz w:val="20"/>
                <w:szCs w:val="20"/>
              </w:rPr>
            </w:pPr>
            <w:r w:rsidRPr="19947A6B">
              <w:rPr>
                <w:color w:val="000000" w:themeColor="text1"/>
                <w:sz w:val="20"/>
                <w:szCs w:val="20"/>
              </w:rPr>
              <w:t xml:space="preserve">84.15 </w:t>
            </w:r>
          </w:p>
        </w:tc>
      </w:tr>
      <w:tr w:rsidR="0D03A42B" w:rsidTr="33BB72CD" w14:paraId="1FBD2677"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53C0185B" w14:textId="22211994">
            <w:pPr>
              <w:ind w:left="-20" w:right="-20"/>
              <w:rPr>
                <w:color w:val="202124"/>
                <w:sz w:val="20"/>
                <w:szCs w:val="20"/>
              </w:rPr>
            </w:pPr>
            <w:r w:rsidRPr="19947A6B">
              <w:rPr>
                <w:color w:val="202124"/>
                <w:sz w:val="20"/>
                <w:szCs w:val="20"/>
              </w:rPr>
              <w:t xml:space="preserve">I am able to establish routines for carrying out specific classroom tasks.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D4E8D72" w14:textId="4C604C73">
            <w:pPr>
              <w:ind w:left="-20" w:right="-20"/>
              <w:rPr>
                <w:color w:val="000000" w:themeColor="text1"/>
                <w:sz w:val="20"/>
                <w:szCs w:val="20"/>
              </w:rPr>
            </w:pPr>
            <w:r w:rsidRPr="19947A6B">
              <w:rPr>
                <w:color w:val="000000" w:themeColor="text1"/>
                <w:sz w:val="20"/>
                <w:szCs w:val="20"/>
              </w:rPr>
              <w:t xml:space="preserve">91.69 </w:t>
            </w:r>
          </w:p>
        </w:tc>
      </w:tr>
      <w:tr w:rsidR="0D03A42B" w:rsidTr="33BB72CD" w14:paraId="0675E00A"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3D7AF632" w14:textId="09B11551">
            <w:pPr>
              <w:ind w:left="-20" w:right="-20"/>
              <w:rPr>
                <w:color w:val="202124"/>
                <w:sz w:val="20"/>
                <w:szCs w:val="20"/>
              </w:rPr>
            </w:pPr>
            <w:r w:rsidRPr="19947A6B">
              <w:rPr>
                <w:color w:val="202124"/>
                <w:sz w:val="20"/>
                <w:szCs w:val="20"/>
              </w:rPr>
              <w:t xml:space="preserve">I am able to design activities that require students to work together toward a common academic goal.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EC0695E" w14:textId="5CEA1AFA">
            <w:pPr>
              <w:ind w:left="-20" w:right="-20"/>
              <w:rPr>
                <w:color w:val="000000" w:themeColor="text1"/>
                <w:sz w:val="20"/>
                <w:szCs w:val="20"/>
              </w:rPr>
            </w:pPr>
            <w:r w:rsidRPr="19947A6B">
              <w:rPr>
                <w:color w:val="000000" w:themeColor="text1"/>
                <w:sz w:val="20"/>
                <w:szCs w:val="20"/>
              </w:rPr>
              <w:t xml:space="preserve">88.84 </w:t>
            </w:r>
          </w:p>
        </w:tc>
      </w:tr>
      <w:tr w:rsidR="0D03A42B" w:rsidTr="33BB72CD" w14:paraId="708054D2"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2D3822EB" w14:textId="3560169E">
            <w:pPr>
              <w:ind w:left="-20" w:right="-20"/>
              <w:rPr>
                <w:color w:val="202124"/>
                <w:sz w:val="20"/>
                <w:szCs w:val="20"/>
              </w:rPr>
            </w:pPr>
            <w:r w:rsidRPr="19947A6B">
              <w:rPr>
                <w:color w:val="202124"/>
                <w:sz w:val="20"/>
                <w:szCs w:val="20"/>
              </w:rPr>
              <w:t xml:space="preserve">I am able to modify the curriculum to allow students to work in groups.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2858A2E1" w14:textId="5FD3438F">
            <w:pPr>
              <w:ind w:left="-20" w:right="-20"/>
              <w:rPr>
                <w:color w:val="000000" w:themeColor="text1"/>
                <w:sz w:val="20"/>
                <w:szCs w:val="20"/>
              </w:rPr>
            </w:pPr>
            <w:r w:rsidRPr="19947A6B">
              <w:rPr>
                <w:color w:val="000000" w:themeColor="text1"/>
                <w:sz w:val="20"/>
                <w:szCs w:val="20"/>
              </w:rPr>
              <w:t xml:space="preserve">89.46 </w:t>
            </w:r>
          </w:p>
        </w:tc>
      </w:tr>
      <w:tr w:rsidR="0D03A42B" w:rsidTr="33BB72CD" w14:paraId="382C499E"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5D5BA3F" w14:textId="37C4AB40">
            <w:pPr>
              <w:ind w:left="-20" w:right="-20"/>
              <w:rPr>
                <w:color w:val="202124"/>
                <w:sz w:val="20"/>
                <w:szCs w:val="20"/>
              </w:rPr>
            </w:pPr>
            <w:r w:rsidRPr="19947A6B">
              <w:rPr>
                <w:color w:val="202124"/>
                <w:sz w:val="20"/>
                <w:szCs w:val="20"/>
              </w:rPr>
              <w:t xml:space="preserve"> I am able to teach students how to work together.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33CA5325" w14:textId="19BAF0D3">
            <w:pPr>
              <w:ind w:left="-20" w:right="-20"/>
              <w:rPr>
                <w:color w:val="000000" w:themeColor="text1"/>
                <w:sz w:val="20"/>
                <w:szCs w:val="20"/>
              </w:rPr>
            </w:pPr>
            <w:r w:rsidRPr="19947A6B">
              <w:rPr>
                <w:color w:val="000000" w:themeColor="text1"/>
                <w:sz w:val="20"/>
                <w:szCs w:val="20"/>
              </w:rPr>
              <w:t xml:space="preserve">87.48 </w:t>
            </w:r>
          </w:p>
        </w:tc>
      </w:tr>
      <w:tr w:rsidR="0D03A42B" w:rsidTr="33BB72CD" w14:paraId="08622D82"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5736E002" w14:textId="65D3599C">
            <w:pPr>
              <w:ind w:left="-20" w:right="-20"/>
              <w:rPr>
                <w:color w:val="202124"/>
                <w:sz w:val="20"/>
                <w:szCs w:val="20"/>
              </w:rPr>
            </w:pPr>
            <w:r w:rsidRPr="19947A6B">
              <w:rPr>
                <w:color w:val="202124"/>
                <w:sz w:val="20"/>
                <w:szCs w:val="20"/>
              </w:rPr>
              <w:t xml:space="preserve">I am able to critically assess whether a particular behavior constitutes misbehavior.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1C20CC6C" w14:textId="19E5F175">
            <w:pPr>
              <w:ind w:left="-20" w:right="-20"/>
              <w:rPr>
                <w:color w:val="000000" w:themeColor="text1"/>
                <w:sz w:val="20"/>
                <w:szCs w:val="20"/>
              </w:rPr>
            </w:pPr>
            <w:r w:rsidRPr="19947A6B">
              <w:rPr>
                <w:color w:val="000000" w:themeColor="text1"/>
                <w:sz w:val="20"/>
                <w:szCs w:val="20"/>
              </w:rPr>
              <w:t xml:space="preserve">81.35 </w:t>
            </w:r>
          </w:p>
        </w:tc>
      </w:tr>
      <w:tr w:rsidR="0D03A42B" w:rsidTr="33BB72CD" w14:paraId="0EDEE57E"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BD0AC6A" w14:textId="601D9613">
            <w:pPr>
              <w:ind w:left="-20" w:right="-20"/>
              <w:rPr>
                <w:color w:val="202124"/>
                <w:sz w:val="20"/>
                <w:szCs w:val="20"/>
              </w:rPr>
            </w:pPr>
            <w:r w:rsidRPr="19947A6B">
              <w:rPr>
                <w:color w:val="202124"/>
                <w:sz w:val="20"/>
                <w:szCs w:val="20"/>
              </w:rPr>
              <w:t xml:space="preserve">I am able to teach children self-management strategies that will assist them in regulating their classroom behavior.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CAE8036" w14:textId="561CABF3">
            <w:pPr>
              <w:ind w:left="-20" w:right="-20"/>
              <w:rPr>
                <w:color w:val="000000" w:themeColor="text1"/>
                <w:sz w:val="20"/>
                <w:szCs w:val="20"/>
              </w:rPr>
            </w:pPr>
            <w:r w:rsidRPr="19947A6B">
              <w:rPr>
                <w:color w:val="000000" w:themeColor="text1"/>
                <w:sz w:val="20"/>
                <w:szCs w:val="20"/>
              </w:rPr>
              <w:t xml:space="preserve">81.48 </w:t>
            </w:r>
          </w:p>
        </w:tc>
      </w:tr>
      <w:tr w:rsidR="0D03A42B" w:rsidTr="33BB72CD" w14:paraId="4577B288"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B30F49B" w14:textId="3E9BED81">
            <w:pPr>
              <w:ind w:left="-20" w:right="-20"/>
              <w:rPr>
                <w:color w:val="202124"/>
                <w:sz w:val="20"/>
                <w:szCs w:val="20"/>
              </w:rPr>
            </w:pPr>
            <w:r w:rsidRPr="19947A6B">
              <w:rPr>
                <w:color w:val="202124"/>
                <w:sz w:val="20"/>
                <w:szCs w:val="20"/>
              </w:rPr>
              <w:t xml:space="preserve">I am able to develop a partnership with parents from diverse cultural and linguistic backgrounds.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144B02FB" w14:textId="752A1055">
            <w:pPr>
              <w:ind w:left="-20" w:right="-20"/>
              <w:rPr>
                <w:color w:val="000000" w:themeColor="text1"/>
                <w:sz w:val="20"/>
                <w:szCs w:val="20"/>
              </w:rPr>
            </w:pPr>
            <w:r w:rsidRPr="19947A6B">
              <w:rPr>
                <w:color w:val="000000" w:themeColor="text1"/>
                <w:sz w:val="20"/>
                <w:szCs w:val="20"/>
              </w:rPr>
              <w:t xml:space="preserve">86.61 </w:t>
            </w:r>
          </w:p>
        </w:tc>
      </w:tr>
      <w:tr w:rsidR="0D03A42B" w:rsidTr="33BB72CD" w14:paraId="27772BDA"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4D965B53" w14:textId="7B78981D">
            <w:pPr>
              <w:ind w:left="-20" w:right="-20"/>
              <w:rPr>
                <w:color w:val="202124"/>
                <w:sz w:val="20"/>
                <w:szCs w:val="20"/>
              </w:rPr>
            </w:pPr>
            <w:r w:rsidRPr="19947A6B">
              <w:rPr>
                <w:color w:val="202124"/>
                <w:sz w:val="20"/>
                <w:szCs w:val="20"/>
              </w:rPr>
              <w:t xml:space="preserve">I am able to communicate with students' parents whose primary language is not English.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1DFF01E" w14:textId="1DCF1051">
            <w:pPr>
              <w:ind w:left="-20" w:right="-20"/>
              <w:rPr>
                <w:color w:val="000000" w:themeColor="text1"/>
                <w:sz w:val="20"/>
                <w:szCs w:val="20"/>
              </w:rPr>
            </w:pPr>
            <w:r w:rsidRPr="19947A6B">
              <w:rPr>
                <w:color w:val="000000" w:themeColor="text1"/>
                <w:sz w:val="20"/>
                <w:szCs w:val="20"/>
              </w:rPr>
              <w:t xml:space="preserve">70.10 </w:t>
            </w:r>
          </w:p>
        </w:tc>
      </w:tr>
      <w:tr w:rsidR="0D03A42B" w:rsidTr="33BB72CD" w14:paraId="6035B804"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3732D0B" w14:textId="386DF2E9">
            <w:pPr>
              <w:ind w:left="-20" w:right="-20"/>
              <w:rPr>
                <w:color w:val="202124"/>
                <w:sz w:val="20"/>
                <w:szCs w:val="20"/>
              </w:rPr>
            </w:pPr>
            <w:r w:rsidRPr="19947A6B">
              <w:rPr>
                <w:color w:val="202124"/>
                <w:sz w:val="20"/>
                <w:szCs w:val="20"/>
              </w:rPr>
              <w:t xml:space="preserve">I am able to establish two-way communication with non-English speaking parents.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3B2E03EB" w14:textId="35879E61">
            <w:pPr>
              <w:ind w:left="-20" w:right="-20"/>
              <w:rPr>
                <w:color w:val="000000" w:themeColor="text1"/>
                <w:sz w:val="20"/>
                <w:szCs w:val="20"/>
              </w:rPr>
            </w:pPr>
            <w:r w:rsidRPr="19947A6B">
              <w:rPr>
                <w:color w:val="000000" w:themeColor="text1"/>
                <w:sz w:val="20"/>
                <w:szCs w:val="20"/>
              </w:rPr>
              <w:t xml:space="preserve">70.41 </w:t>
            </w:r>
          </w:p>
        </w:tc>
      </w:tr>
      <w:tr w:rsidR="0D03A42B" w:rsidTr="33BB72CD" w14:paraId="3FAF17F2"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1364B64E" w14:textId="3261728F">
            <w:pPr>
              <w:ind w:left="-20" w:right="-20"/>
              <w:rPr>
                <w:color w:val="202124"/>
                <w:sz w:val="20"/>
                <w:szCs w:val="20"/>
              </w:rPr>
            </w:pPr>
            <w:r w:rsidRPr="19947A6B">
              <w:rPr>
                <w:color w:val="202124"/>
                <w:sz w:val="20"/>
                <w:szCs w:val="20"/>
              </w:rPr>
              <w:t xml:space="preserve">I am able to use culturally appropriate methods to relate to parents from culturally and linguistically diverse backgrounds.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5820678E" w14:textId="1279FF1D">
            <w:pPr>
              <w:ind w:left="-20" w:right="-20"/>
              <w:rPr>
                <w:color w:val="000000" w:themeColor="text1"/>
                <w:sz w:val="20"/>
                <w:szCs w:val="20"/>
              </w:rPr>
            </w:pPr>
            <w:r w:rsidRPr="19947A6B">
              <w:rPr>
                <w:color w:val="000000" w:themeColor="text1"/>
                <w:sz w:val="20"/>
                <w:szCs w:val="20"/>
              </w:rPr>
              <w:t xml:space="preserve">77.30 </w:t>
            </w:r>
          </w:p>
        </w:tc>
      </w:tr>
      <w:tr w:rsidR="0D03A42B" w:rsidTr="33BB72CD" w14:paraId="3B14D8C9"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600BA93D" w14:textId="74D79F1C">
            <w:pPr>
              <w:ind w:left="-20" w:right="-20"/>
              <w:rPr>
                <w:color w:val="202124"/>
                <w:sz w:val="20"/>
                <w:szCs w:val="20"/>
              </w:rPr>
            </w:pPr>
            <w:r w:rsidRPr="19947A6B">
              <w:rPr>
                <w:color w:val="202124"/>
                <w:sz w:val="20"/>
                <w:szCs w:val="20"/>
              </w:rPr>
              <w:t xml:space="preserve">I am able to model classroom routines for English Language Learners.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141CDE94" w14:textId="1C4211BE">
            <w:pPr>
              <w:ind w:left="-20" w:right="-20"/>
              <w:rPr>
                <w:color w:val="000000" w:themeColor="text1"/>
                <w:sz w:val="20"/>
                <w:szCs w:val="20"/>
              </w:rPr>
            </w:pPr>
            <w:r w:rsidRPr="19947A6B">
              <w:rPr>
                <w:color w:val="000000" w:themeColor="text1"/>
                <w:sz w:val="20"/>
                <w:szCs w:val="20"/>
              </w:rPr>
              <w:t xml:space="preserve">73.76 </w:t>
            </w:r>
          </w:p>
        </w:tc>
      </w:tr>
      <w:tr w:rsidR="0D03A42B" w:rsidTr="33BB72CD" w14:paraId="74F8D3E0"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0D8237D7" w14:textId="27EE5992">
            <w:pPr>
              <w:ind w:left="-20" w:right="-20"/>
              <w:rPr>
                <w:color w:val="202124"/>
                <w:sz w:val="20"/>
                <w:szCs w:val="20"/>
              </w:rPr>
            </w:pPr>
            <w:r w:rsidRPr="19947A6B">
              <w:rPr>
                <w:color w:val="202124"/>
                <w:sz w:val="20"/>
                <w:szCs w:val="20"/>
              </w:rPr>
              <w:t xml:space="preserve">I am able to explain classroom rules so that they are easily understood by English Language Learners.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6BAB4255" w14:textId="65001675">
            <w:pPr>
              <w:ind w:left="-20" w:right="-20"/>
              <w:rPr>
                <w:color w:val="000000" w:themeColor="text1"/>
                <w:sz w:val="20"/>
                <w:szCs w:val="20"/>
              </w:rPr>
            </w:pPr>
            <w:r w:rsidRPr="19947A6B">
              <w:rPr>
                <w:color w:val="000000" w:themeColor="text1"/>
                <w:sz w:val="20"/>
                <w:szCs w:val="20"/>
              </w:rPr>
              <w:t xml:space="preserve">74.46 </w:t>
            </w:r>
          </w:p>
        </w:tc>
      </w:tr>
      <w:tr w:rsidR="0D03A42B" w:rsidTr="33BB72CD" w14:paraId="7C542067"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26AF205D" w14:textId="239777BD">
            <w:pPr>
              <w:ind w:left="-20" w:right="-20"/>
              <w:rPr>
                <w:color w:val="202124"/>
                <w:sz w:val="20"/>
                <w:szCs w:val="20"/>
              </w:rPr>
            </w:pPr>
            <w:r w:rsidRPr="19947A6B">
              <w:rPr>
                <w:color w:val="202124"/>
                <w:sz w:val="20"/>
                <w:szCs w:val="20"/>
              </w:rPr>
              <w:t xml:space="preserve">I am able to modify aspects of the classroom so that it matches aspects of students' home culture.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7AF15ECF" w14:textId="18A1740F">
            <w:pPr>
              <w:ind w:left="-20" w:right="-20"/>
              <w:rPr>
                <w:color w:val="000000" w:themeColor="text1"/>
                <w:sz w:val="20"/>
                <w:szCs w:val="20"/>
              </w:rPr>
            </w:pPr>
            <w:r w:rsidRPr="19947A6B">
              <w:rPr>
                <w:color w:val="000000" w:themeColor="text1"/>
                <w:sz w:val="20"/>
                <w:szCs w:val="20"/>
              </w:rPr>
              <w:t xml:space="preserve">71.74 </w:t>
            </w:r>
          </w:p>
        </w:tc>
      </w:tr>
      <w:tr w:rsidR="0D03A42B" w:rsidTr="33BB72CD" w14:paraId="2DDEB24B" w14:textId="77777777">
        <w:trPr>
          <w:trHeight w:val="420"/>
        </w:trPr>
        <w:tc>
          <w:tcPr>
            <w:tcW w:w="8561" w:type="dxa"/>
            <w:tcBorders>
              <w:top w:val="nil"/>
              <w:left w:val="nil"/>
              <w:bottom w:val="nil"/>
              <w:right w:val="nil"/>
            </w:tcBorders>
            <w:tcMar>
              <w:top w:w="17" w:type="dxa"/>
              <w:left w:w="34" w:type="dxa"/>
              <w:bottom w:w="17" w:type="dxa"/>
              <w:right w:w="34" w:type="dxa"/>
            </w:tcMar>
            <w:vAlign w:val="bottom"/>
          </w:tcPr>
          <w:p w:rsidR="0D03A42B" w:rsidP="0D03A42B" w:rsidRDefault="0D03A42B" w14:paraId="67E1B962" w14:textId="7F8B5B80">
            <w:pPr>
              <w:ind w:left="-20" w:right="-20"/>
              <w:rPr>
                <w:color w:val="202124"/>
                <w:sz w:val="20"/>
                <w:szCs w:val="20"/>
              </w:rPr>
            </w:pPr>
            <w:r w:rsidRPr="0D03A42B">
              <w:rPr>
                <w:color w:val="202124"/>
                <w:sz w:val="20"/>
                <w:szCs w:val="20"/>
              </w:rPr>
              <w:t xml:space="preserve">I am able to implement an intervention that minimizes a conflict that occurs when a students' culturally based behavior is not consistent with school norms. </w:t>
            </w:r>
          </w:p>
        </w:tc>
        <w:tc>
          <w:tcPr>
            <w:tcW w:w="799" w:type="dxa"/>
            <w:tcBorders>
              <w:top w:val="nil"/>
              <w:left w:val="nil"/>
              <w:bottom w:val="nil"/>
              <w:right w:val="nil"/>
            </w:tcBorders>
            <w:tcMar>
              <w:top w:w="17" w:type="dxa"/>
              <w:left w:w="34" w:type="dxa"/>
              <w:bottom w:w="17" w:type="dxa"/>
              <w:right w:w="34" w:type="dxa"/>
            </w:tcMar>
            <w:vAlign w:val="bottom"/>
          </w:tcPr>
          <w:p w:rsidR="0D03A42B" w:rsidP="0D03A42B" w:rsidRDefault="0D03A42B" w14:paraId="419268A2" w14:textId="000FB843">
            <w:pPr>
              <w:ind w:left="-20" w:right="-20"/>
              <w:rPr>
                <w:color w:val="000000" w:themeColor="text1"/>
                <w:sz w:val="20"/>
                <w:szCs w:val="20"/>
              </w:rPr>
            </w:pPr>
            <w:r w:rsidRPr="0D03A42B">
              <w:rPr>
                <w:color w:val="000000" w:themeColor="text1"/>
                <w:sz w:val="20"/>
                <w:szCs w:val="20"/>
              </w:rPr>
              <w:t xml:space="preserve">73.84 </w:t>
            </w:r>
          </w:p>
        </w:tc>
      </w:tr>
      <w:tr w:rsidR="0D03A42B" w:rsidTr="33BB72CD" w14:paraId="63ED7D65" w14:textId="77777777">
        <w:trPr>
          <w:trHeight w:val="34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7220833A" w14:textId="498FED8B">
            <w:pPr>
              <w:ind w:left="-20" w:right="-20"/>
              <w:rPr>
                <w:color w:val="202124"/>
                <w:sz w:val="20"/>
                <w:szCs w:val="20"/>
              </w:rPr>
            </w:pPr>
            <w:r w:rsidRPr="19947A6B">
              <w:rPr>
                <w:color w:val="202124"/>
                <w:sz w:val="20"/>
                <w:szCs w:val="20"/>
              </w:rPr>
              <w:t xml:space="preserve">I am able to develop an effective classroom management plan based on my understanding of students' family background.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1927A35E" w14:textId="24C3F789">
            <w:pPr>
              <w:ind w:left="-20" w:right="-20"/>
              <w:rPr>
                <w:color w:val="000000" w:themeColor="text1"/>
                <w:sz w:val="20"/>
                <w:szCs w:val="20"/>
              </w:rPr>
            </w:pPr>
            <w:r w:rsidRPr="19947A6B">
              <w:rPr>
                <w:color w:val="000000" w:themeColor="text1"/>
                <w:sz w:val="20"/>
                <w:szCs w:val="20"/>
              </w:rPr>
              <w:t xml:space="preserve">80.05 </w:t>
            </w:r>
          </w:p>
        </w:tc>
      </w:tr>
      <w:tr w:rsidR="0D03A42B" w:rsidTr="33BB72CD" w14:paraId="6AE26E49" w14:textId="77777777">
        <w:trPr>
          <w:trHeight w:val="255"/>
        </w:trPr>
        <w:tc>
          <w:tcPr>
            <w:tcW w:w="8561" w:type="dxa"/>
            <w:tcBorders>
              <w:top w:val="nil"/>
              <w:left w:val="nil"/>
              <w:bottom w:val="nil"/>
              <w:right w:val="nil"/>
            </w:tcBorders>
            <w:tcMar>
              <w:top w:w="17" w:type="dxa"/>
              <w:left w:w="34" w:type="dxa"/>
              <w:bottom w:w="17" w:type="dxa"/>
              <w:right w:w="34" w:type="dxa"/>
            </w:tcMar>
            <w:vAlign w:val="bottom"/>
          </w:tcPr>
          <w:p w:rsidR="0D03A42B" w:rsidP="19947A6B" w:rsidRDefault="10E06621" w14:paraId="303CA39F" w14:textId="70C88B90">
            <w:pPr>
              <w:ind w:left="-20" w:right="-20"/>
              <w:rPr>
                <w:color w:val="202124"/>
                <w:sz w:val="20"/>
                <w:szCs w:val="20"/>
              </w:rPr>
            </w:pPr>
            <w:r w:rsidRPr="19947A6B">
              <w:rPr>
                <w:color w:val="202124"/>
                <w:sz w:val="20"/>
                <w:szCs w:val="20"/>
              </w:rPr>
              <w:t xml:space="preserve">I am able to manage situations in which students are defiant. </w:t>
            </w:r>
          </w:p>
        </w:tc>
        <w:tc>
          <w:tcPr>
            <w:tcW w:w="799" w:type="dxa"/>
            <w:tcBorders>
              <w:top w:val="nil"/>
              <w:left w:val="nil"/>
              <w:bottom w:val="nil"/>
              <w:right w:val="nil"/>
            </w:tcBorders>
            <w:tcMar>
              <w:top w:w="17" w:type="dxa"/>
              <w:left w:w="34" w:type="dxa"/>
              <w:bottom w:w="17" w:type="dxa"/>
              <w:right w:w="34" w:type="dxa"/>
            </w:tcMar>
            <w:vAlign w:val="bottom"/>
          </w:tcPr>
          <w:p w:rsidR="0D03A42B" w:rsidP="19947A6B" w:rsidRDefault="10E06621" w14:paraId="0E12C35F" w14:textId="76203457">
            <w:pPr>
              <w:ind w:left="-20" w:right="-20"/>
              <w:rPr>
                <w:color w:val="000000" w:themeColor="text1"/>
                <w:sz w:val="20"/>
                <w:szCs w:val="20"/>
              </w:rPr>
            </w:pPr>
            <w:r w:rsidRPr="19947A6B">
              <w:rPr>
                <w:color w:val="000000" w:themeColor="text1"/>
                <w:sz w:val="20"/>
                <w:szCs w:val="20"/>
              </w:rPr>
              <w:t xml:space="preserve">84.07 </w:t>
            </w:r>
          </w:p>
        </w:tc>
      </w:tr>
      <w:tr w:rsidR="0D03A42B" w:rsidTr="33BB72CD" w14:paraId="4EB9978F" w14:textId="77777777">
        <w:trPr>
          <w:trHeight w:val="345"/>
        </w:trPr>
        <w:tc>
          <w:tcPr>
            <w:tcW w:w="8561" w:type="dxa"/>
            <w:tcBorders>
              <w:top w:val="nil"/>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7E0D6189" w14:textId="1610C25A">
            <w:pPr>
              <w:ind w:left="-20" w:right="-20"/>
              <w:rPr>
                <w:color w:val="202124"/>
                <w:sz w:val="20"/>
                <w:szCs w:val="20"/>
              </w:rPr>
            </w:pPr>
            <w:r w:rsidRPr="19947A6B">
              <w:rPr>
                <w:color w:val="202124"/>
                <w:sz w:val="20"/>
                <w:szCs w:val="20"/>
              </w:rPr>
              <w:t xml:space="preserve">I am able to prevent disruptions by recognizing potential causes for misbehavior. </w:t>
            </w:r>
          </w:p>
        </w:tc>
        <w:tc>
          <w:tcPr>
            <w:tcW w:w="799" w:type="dxa"/>
            <w:tcBorders>
              <w:top w:val="nil"/>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6F1CA775" w14:textId="4F3C3612">
            <w:pPr>
              <w:ind w:left="-20" w:right="-20"/>
              <w:rPr>
                <w:color w:val="000000" w:themeColor="text1"/>
                <w:sz w:val="20"/>
                <w:szCs w:val="20"/>
              </w:rPr>
            </w:pPr>
            <w:r w:rsidRPr="19947A6B">
              <w:rPr>
                <w:color w:val="000000" w:themeColor="text1"/>
                <w:sz w:val="20"/>
                <w:szCs w:val="20"/>
              </w:rPr>
              <w:t>84.97</w:t>
            </w:r>
          </w:p>
        </w:tc>
      </w:tr>
    </w:tbl>
    <w:p w:rsidR="548C78CC" w:rsidP="0D03A42B" w:rsidRDefault="6BB7F400" w14:paraId="6C5E8334" w14:textId="25F5029D">
      <w:pPr>
        <w:spacing w:line="480" w:lineRule="auto"/>
      </w:pPr>
      <w:r>
        <w:t>Figure A1. Mean scores from survey respondents.</w:t>
      </w:r>
    </w:p>
    <w:p w:rsidR="548C78CC" w:rsidP="19947A6B" w:rsidRDefault="548C78CC" w14:paraId="62F8B8E4" w14:textId="544BDFC5">
      <w:pPr>
        <w:spacing w:line="480" w:lineRule="auto"/>
      </w:pPr>
      <w:r>
        <w:br w:type="page"/>
      </w:r>
    </w:p>
    <w:tbl>
      <w:tblPr>
        <w:tblW w:w="0" w:type="auto"/>
        <w:tblLayout w:type="fixed"/>
        <w:tblLook w:val="0600" w:firstRow="0" w:lastRow="0" w:firstColumn="0" w:lastColumn="0" w:noHBand="1" w:noVBand="1"/>
      </w:tblPr>
      <w:tblGrid>
        <w:gridCol w:w="720"/>
        <w:gridCol w:w="825"/>
        <w:gridCol w:w="825"/>
        <w:gridCol w:w="825"/>
      </w:tblGrid>
      <w:tr w:rsidR="0D03A42B" w:rsidTr="19947A6B" w14:paraId="0F771C74" w14:textId="77777777">
        <w:trPr>
          <w:trHeight w:val="330"/>
        </w:trPr>
        <w:tc>
          <w:tcPr>
            <w:tcW w:w="720"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2FF9D05E" w14:textId="23FC2C75">
            <w:pPr>
              <w:ind w:left="-20" w:right="-20"/>
              <w:rPr>
                <w:b/>
                <w:bCs/>
                <w:color w:val="000000" w:themeColor="text1"/>
              </w:rPr>
            </w:pPr>
            <w:r w:rsidRPr="19947A6B">
              <w:rPr>
                <w:b/>
                <w:bCs/>
                <w:color w:val="000000" w:themeColor="text1"/>
              </w:rPr>
              <w:t>R</w:t>
            </w:r>
          </w:p>
        </w:tc>
        <w:tc>
          <w:tcPr>
            <w:tcW w:w="825"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14DA8808" w14:textId="4E26F05D">
            <w:pPr>
              <w:ind w:left="-20" w:right="-20"/>
              <w:rPr>
                <w:b/>
                <w:bCs/>
                <w:color w:val="000000" w:themeColor="text1"/>
              </w:rPr>
            </w:pPr>
            <w:r w:rsidRPr="19947A6B">
              <w:rPr>
                <w:b/>
                <w:bCs/>
                <w:color w:val="000000" w:themeColor="text1"/>
              </w:rPr>
              <w:t>SI</w:t>
            </w:r>
          </w:p>
        </w:tc>
        <w:tc>
          <w:tcPr>
            <w:tcW w:w="825"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5CD534FE" w14:textId="79541162">
            <w:pPr>
              <w:ind w:left="-20" w:right="-20"/>
              <w:rPr>
                <w:b/>
                <w:bCs/>
                <w:color w:val="000000" w:themeColor="text1"/>
              </w:rPr>
            </w:pPr>
            <w:r w:rsidRPr="19947A6B">
              <w:rPr>
                <w:b/>
                <w:bCs/>
                <w:color w:val="000000" w:themeColor="text1"/>
              </w:rPr>
              <w:t>R</w:t>
            </w:r>
          </w:p>
        </w:tc>
        <w:tc>
          <w:tcPr>
            <w:tcW w:w="825" w:type="dxa"/>
            <w:tcBorders>
              <w:top w:val="single" w:color="000000" w:themeColor="text1" w:sz="6" w:space="0"/>
              <w:left w:val="nil"/>
              <w:bottom w:val="single" w:color="000000" w:themeColor="text1" w:sz="6" w:space="0"/>
              <w:right w:val="nil"/>
            </w:tcBorders>
            <w:tcMar>
              <w:top w:w="17" w:type="dxa"/>
              <w:left w:w="34" w:type="dxa"/>
              <w:bottom w:w="17" w:type="dxa"/>
              <w:right w:w="34" w:type="dxa"/>
            </w:tcMar>
            <w:vAlign w:val="bottom"/>
          </w:tcPr>
          <w:p w:rsidR="0D03A42B" w:rsidP="19947A6B" w:rsidRDefault="10E06621" w14:paraId="021E325F" w14:textId="5715BB89">
            <w:pPr>
              <w:ind w:left="-20" w:right="-20"/>
              <w:rPr>
                <w:b/>
                <w:bCs/>
                <w:color w:val="000000" w:themeColor="text1"/>
              </w:rPr>
            </w:pPr>
            <w:r w:rsidRPr="19947A6B">
              <w:rPr>
                <w:b/>
                <w:bCs/>
                <w:color w:val="000000" w:themeColor="text1"/>
              </w:rPr>
              <w:t>SI</w:t>
            </w:r>
          </w:p>
        </w:tc>
      </w:tr>
      <w:tr w:rsidR="0D03A42B" w:rsidTr="19947A6B" w14:paraId="41008C34" w14:textId="77777777">
        <w:trPr>
          <w:trHeight w:val="255"/>
        </w:trPr>
        <w:tc>
          <w:tcPr>
            <w:tcW w:w="720"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12D44208" w14:textId="57CBF798">
            <w:pPr>
              <w:ind w:left="-20" w:right="-20"/>
              <w:rPr>
                <w:b/>
                <w:bCs/>
                <w:color w:val="000000" w:themeColor="text1"/>
              </w:rPr>
            </w:pPr>
            <w:r w:rsidRPr="19947A6B">
              <w:rPr>
                <w:b/>
                <w:bCs/>
                <w:color w:val="000000" w:themeColor="text1"/>
              </w:rPr>
              <w:t xml:space="preserve">1 </w:t>
            </w:r>
          </w:p>
        </w:tc>
        <w:tc>
          <w:tcPr>
            <w:tcW w:w="825"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48B5BA01" w14:textId="29F9878D">
            <w:pPr>
              <w:ind w:left="-20" w:right="-20"/>
              <w:rPr>
                <w:color w:val="000000" w:themeColor="text1"/>
              </w:rPr>
            </w:pPr>
            <w:r w:rsidRPr="19947A6B">
              <w:rPr>
                <w:color w:val="000000" w:themeColor="text1"/>
              </w:rPr>
              <w:t xml:space="preserve">75.14 </w:t>
            </w:r>
          </w:p>
        </w:tc>
        <w:tc>
          <w:tcPr>
            <w:tcW w:w="825"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4E4ADF36" w14:textId="3A0C4E9A">
            <w:pPr>
              <w:ind w:left="-20" w:right="-20"/>
              <w:rPr>
                <w:b/>
                <w:bCs/>
                <w:color w:val="000000" w:themeColor="text1"/>
              </w:rPr>
            </w:pPr>
            <w:r w:rsidRPr="19947A6B">
              <w:rPr>
                <w:b/>
                <w:bCs/>
                <w:color w:val="000000" w:themeColor="text1"/>
              </w:rPr>
              <w:t xml:space="preserve">21 </w:t>
            </w:r>
          </w:p>
        </w:tc>
        <w:tc>
          <w:tcPr>
            <w:tcW w:w="825" w:type="dxa"/>
            <w:tcBorders>
              <w:top w:val="single" w:color="000000" w:themeColor="text1" w:sz="6" w:space="0"/>
              <w:left w:val="nil"/>
              <w:bottom w:val="nil"/>
              <w:right w:val="nil"/>
            </w:tcBorders>
            <w:tcMar>
              <w:top w:w="17" w:type="dxa"/>
              <w:left w:w="34" w:type="dxa"/>
              <w:bottom w:w="17" w:type="dxa"/>
              <w:right w:w="34" w:type="dxa"/>
            </w:tcMar>
            <w:vAlign w:val="bottom"/>
          </w:tcPr>
          <w:p w:rsidR="0D03A42B" w:rsidP="19947A6B" w:rsidRDefault="10E06621" w14:paraId="44487B20" w14:textId="06425732">
            <w:pPr>
              <w:ind w:left="-20" w:right="-20"/>
              <w:rPr>
                <w:color w:val="000000" w:themeColor="text1"/>
              </w:rPr>
            </w:pPr>
            <w:r w:rsidRPr="19947A6B">
              <w:rPr>
                <w:color w:val="000000" w:themeColor="text1"/>
              </w:rPr>
              <w:t xml:space="preserve">63.74 </w:t>
            </w:r>
          </w:p>
        </w:tc>
      </w:tr>
      <w:tr w:rsidR="0D03A42B" w:rsidTr="19947A6B" w14:paraId="368CBFF2"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4E652D93" w14:textId="15600EC4">
            <w:pPr>
              <w:ind w:left="-20" w:right="-20"/>
              <w:rPr>
                <w:b/>
                <w:bCs/>
                <w:color w:val="000000" w:themeColor="text1"/>
              </w:rPr>
            </w:pPr>
            <w:r w:rsidRPr="19947A6B">
              <w:rPr>
                <w:b/>
                <w:bCs/>
                <w:color w:val="000000" w:themeColor="text1"/>
              </w:rPr>
              <w:t xml:space="preserve">2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74C777E5" w14:textId="69D9296A">
            <w:pPr>
              <w:ind w:left="-20" w:right="-20"/>
              <w:rPr>
                <w:color w:val="000000" w:themeColor="text1"/>
              </w:rPr>
            </w:pPr>
            <w:r w:rsidRPr="19947A6B">
              <w:rPr>
                <w:color w:val="000000" w:themeColor="text1"/>
              </w:rPr>
              <w:t xml:space="preserve">78.86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77804E0" w14:textId="0386D698">
            <w:pPr>
              <w:ind w:left="-20" w:right="-20"/>
              <w:rPr>
                <w:b/>
                <w:bCs/>
                <w:color w:val="000000" w:themeColor="text1"/>
              </w:rPr>
            </w:pPr>
            <w:r w:rsidRPr="19947A6B">
              <w:rPr>
                <w:b/>
                <w:bCs/>
                <w:color w:val="000000" w:themeColor="text1"/>
              </w:rPr>
              <w:t xml:space="preserve">22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15AA3AC" w14:textId="2C24BAFC">
            <w:pPr>
              <w:ind w:left="-20" w:right="-20"/>
              <w:rPr>
                <w:color w:val="000000" w:themeColor="text1"/>
              </w:rPr>
            </w:pPr>
            <w:r w:rsidRPr="19947A6B">
              <w:rPr>
                <w:color w:val="000000" w:themeColor="text1"/>
              </w:rPr>
              <w:t xml:space="preserve">91.14 </w:t>
            </w:r>
          </w:p>
        </w:tc>
      </w:tr>
      <w:tr w:rsidR="0D03A42B" w:rsidTr="19947A6B" w14:paraId="0B9C76F9"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16D9C4FB" w14:textId="3F35623D">
            <w:pPr>
              <w:ind w:left="-20" w:right="-20"/>
              <w:rPr>
                <w:b/>
                <w:bCs/>
                <w:color w:val="000000" w:themeColor="text1"/>
              </w:rPr>
            </w:pPr>
            <w:r w:rsidRPr="19947A6B">
              <w:rPr>
                <w:b/>
                <w:bCs/>
                <w:color w:val="000000" w:themeColor="text1"/>
              </w:rPr>
              <w:t xml:space="preserve">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7BBD82C" w14:textId="4D5A7901">
            <w:pPr>
              <w:ind w:left="-20" w:right="-20"/>
              <w:rPr>
                <w:color w:val="000000" w:themeColor="text1"/>
              </w:rPr>
            </w:pPr>
            <w:r w:rsidRPr="19947A6B">
              <w:rPr>
                <w:color w:val="000000" w:themeColor="text1"/>
              </w:rPr>
              <w:t xml:space="preserve">77.29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0103509" w14:textId="61C3AB69">
            <w:pPr>
              <w:ind w:left="-20" w:right="-20"/>
              <w:rPr>
                <w:b/>
                <w:bCs/>
                <w:color w:val="000000" w:themeColor="text1"/>
              </w:rPr>
            </w:pPr>
            <w:r w:rsidRPr="19947A6B">
              <w:rPr>
                <w:b/>
                <w:bCs/>
                <w:color w:val="000000" w:themeColor="text1"/>
              </w:rPr>
              <w:t xml:space="preserve">23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B140C58" w14:textId="51032E1F">
            <w:pPr>
              <w:ind w:left="-20" w:right="-20"/>
              <w:rPr>
                <w:color w:val="000000" w:themeColor="text1"/>
              </w:rPr>
            </w:pPr>
            <w:r w:rsidRPr="19947A6B">
              <w:rPr>
                <w:color w:val="000000" w:themeColor="text1"/>
              </w:rPr>
              <w:t xml:space="preserve">99.14 </w:t>
            </w:r>
          </w:p>
        </w:tc>
      </w:tr>
      <w:tr w:rsidR="0D03A42B" w:rsidTr="19947A6B" w14:paraId="50F1DF7B"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402B6A94" w14:textId="592BF1A0">
            <w:pPr>
              <w:ind w:left="-20" w:right="-20"/>
              <w:rPr>
                <w:b/>
                <w:bCs/>
                <w:color w:val="000000" w:themeColor="text1"/>
              </w:rPr>
            </w:pPr>
            <w:r w:rsidRPr="19947A6B">
              <w:rPr>
                <w:b/>
                <w:bCs/>
                <w:color w:val="000000" w:themeColor="text1"/>
              </w:rPr>
              <w:t xml:space="preserve">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0DED7AE" w14:textId="2F66DFE3">
            <w:pPr>
              <w:ind w:left="-20" w:right="-20"/>
              <w:rPr>
                <w:color w:val="000000" w:themeColor="text1"/>
              </w:rPr>
            </w:pPr>
            <w:r w:rsidRPr="19947A6B">
              <w:rPr>
                <w:color w:val="000000" w:themeColor="text1"/>
              </w:rPr>
              <w:t xml:space="preserve">91.57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F600CAB" w14:textId="7CA4F935">
            <w:pPr>
              <w:ind w:left="-20" w:right="-20"/>
              <w:rPr>
                <w:b/>
                <w:bCs/>
                <w:color w:val="000000" w:themeColor="text1"/>
              </w:rPr>
            </w:pPr>
            <w:r w:rsidRPr="19947A6B">
              <w:rPr>
                <w:b/>
                <w:bCs/>
                <w:color w:val="000000" w:themeColor="text1"/>
              </w:rPr>
              <w:t xml:space="preserve">24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275C4A34" w14:textId="2EB74034">
            <w:pPr>
              <w:ind w:left="-20" w:right="-20"/>
              <w:rPr>
                <w:color w:val="000000" w:themeColor="text1"/>
              </w:rPr>
            </w:pPr>
            <w:r w:rsidRPr="19947A6B">
              <w:rPr>
                <w:color w:val="000000" w:themeColor="text1"/>
              </w:rPr>
              <w:t xml:space="preserve">74.14 </w:t>
            </w:r>
          </w:p>
        </w:tc>
      </w:tr>
      <w:tr w:rsidR="0D03A42B" w:rsidTr="19947A6B" w14:paraId="2649E642"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39BDE1CC" w14:textId="0FC55627">
            <w:pPr>
              <w:ind w:left="-20" w:right="-20"/>
              <w:rPr>
                <w:b/>
                <w:bCs/>
                <w:color w:val="000000" w:themeColor="text1"/>
              </w:rPr>
            </w:pPr>
            <w:r w:rsidRPr="19947A6B">
              <w:rPr>
                <w:b/>
                <w:bCs/>
                <w:color w:val="000000" w:themeColor="text1"/>
              </w:rPr>
              <w:t xml:space="preserve">5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CE8F390" w14:textId="64128D9E">
            <w:pPr>
              <w:ind w:left="-20" w:right="-20"/>
              <w:rPr>
                <w:color w:val="000000" w:themeColor="text1"/>
              </w:rPr>
            </w:pPr>
            <w:r w:rsidRPr="19947A6B">
              <w:rPr>
                <w:color w:val="000000" w:themeColor="text1"/>
              </w:rPr>
              <w:t xml:space="preserve">74.86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8900358" w14:textId="1C559FC2">
            <w:pPr>
              <w:ind w:left="-20" w:right="-20"/>
              <w:rPr>
                <w:b/>
                <w:bCs/>
                <w:color w:val="000000" w:themeColor="text1"/>
              </w:rPr>
            </w:pPr>
            <w:r w:rsidRPr="19947A6B">
              <w:rPr>
                <w:b/>
                <w:bCs/>
                <w:color w:val="000000" w:themeColor="text1"/>
              </w:rPr>
              <w:t xml:space="preserve">25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A5CA151" w14:textId="50A27AEF">
            <w:pPr>
              <w:ind w:left="-20" w:right="-20"/>
              <w:rPr>
                <w:color w:val="000000" w:themeColor="text1"/>
              </w:rPr>
            </w:pPr>
            <w:r w:rsidRPr="19947A6B">
              <w:rPr>
                <w:color w:val="000000" w:themeColor="text1"/>
              </w:rPr>
              <w:t xml:space="preserve">88.57 </w:t>
            </w:r>
          </w:p>
        </w:tc>
      </w:tr>
      <w:tr w:rsidR="0D03A42B" w:rsidTr="19947A6B" w14:paraId="1ACC87D9" w14:textId="77777777">
        <w:trPr>
          <w:trHeight w:val="22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020E4C9F" w14:textId="59D66C0C">
            <w:pPr>
              <w:ind w:left="-20" w:right="-20"/>
              <w:rPr>
                <w:b/>
                <w:bCs/>
                <w:color w:val="000000" w:themeColor="text1"/>
              </w:rPr>
            </w:pPr>
            <w:r w:rsidRPr="19947A6B">
              <w:rPr>
                <w:b/>
                <w:bCs/>
                <w:color w:val="000000" w:themeColor="text1"/>
              </w:rPr>
              <w:t xml:space="preserve">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8DE598E" w14:textId="44A48EEA">
            <w:pPr>
              <w:ind w:left="-20" w:right="-20"/>
              <w:rPr>
                <w:color w:val="000000" w:themeColor="text1"/>
              </w:rPr>
            </w:pPr>
            <w:r w:rsidRPr="19947A6B">
              <w:rPr>
                <w:color w:val="000000" w:themeColor="text1"/>
              </w:rPr>
              <w:t xml:space="preserve">96.94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D092EE6" w14:textId="72139798">
            <w:pPr>
              <w:ind w:left="-20" w:right="-20"/>
              <w:rPr>
                <w:b/>
                <w:bCs/>
                <w:color w:val="000000" w:themeColor="text1"/>
              </w:rPr>
            </w:pPr>
            <w:r w:rsidRPr="19947A6B">
              <w:rPr>
                <w:b/>
                <w:bCs/>
                <w:color w:val="000000" w:themeColor="text1"/>
              </w:rPr>
              <w:t xml:space="preserve">26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E528D48" w14:textId="0A729A81">
            <w:pPr>
              <w:ind w:left="-20" w:right="-20"/>
              <w:rPr>
                <w:color w:val="000000" w:themeColor="text1"/>
              </w:rPr>
            </w:pPr>
            <w:r w:rsidRPr="19947A6B">
              <w:rPr>
                <w:color w:val="000000" w:themeColor="text1"/>
              </w:rPr>
              <w:t xml:space="preserve">84.86 </w:t>
            </w:r>
          </w:p>
        </w:tc>
      </w:tr>
      <w:tr w:rsidR="0D03A42B" w:rsidTr="19947A6B" w14:paraId="4D853FE2"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7391791F" w14:textId="5E851314">
            <w:pPr>
              <w:ind w:left="-20" w:right="-20"/>
              <w:rPr>
                <w:b/>
                <w:bCs/>
                <w:color w:val="000000" w:themeColor="text1"/>
              </w:rPr>
            </w:pPr>
            <w:r w:rsidRPr="19947A6B">
              <w:rPr>
                <w:b/>
                <w:bCs/>
                <w:color w:val="000000" w:themeColor="text1"/>
              </w:rPr>
              <w:t xml:space="preserve">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80F5798" w14:textId="0F97EA16">
            <w:pPr>
              <w:ind w:left="-20" w:right="-20"/>
              <w:rPr>
                <w:color w:val="000000" w:themeColor="text1"/>
              </w:rPr>
            </w:pPr>
            <w:r w:rsidRPr="19947A6B">
              <w:rPr>
                <w:color w:val="000000" w:themeColor="text1"/>
              </w:rPr>
              <w:t xml:space="preserve">86.86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980CB1F" w14:textId="5BBF8F2D">
            <w:pPr>
              <w:ind w:left="-20" w:right="-20"/>
              <w:rPr>
                <w:b/>
                <w:bCs/>
                <w:color w:val="000000" w:themeColor="text1"/>
              </w:rPr>
            </w:pPr>
            <w:r w:rsidRPr="19947A6B">
              <w:rPr>
                <w:b/>
                <w:bCs/>
                <w:color w:val="000000" w:themeColor="text1"/>
              </w:rPr>
              <w:t xml:space="preserve">27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742D4414" w14:textId="249F3C67">
            <w:pPr>
              <w:ind w:left="-20" w:right="-20"/>
              <w:rPr>
                <w:color w:val="000000" w:themeColor="text1"/>
              </w:rPr>
            </w:pPr>
            <w:r w:rsidRPr="19947A6B">
              <w:rPr>
                <w:color w:val="000000" w:themeColor="text1"/>
              </w:rPr>
              <w:t xml:space="preserve">75.14 </w:t>
            </w:r>
          </w:p>
        </w:tc>
      </w:tr>
      <w:tr w:rsidR="0D03A42B" w:rsidTr="19947A6B" w14:paraId="034C32A9"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327FD335" w14:textId="4F7D39A4">
            <w:pPr>
              <w:ind w:left="-20" w:right="-20"/>
              <w:rPr>
                <w:b/>
                <w:bCs/>
                <w:color w:val="000000" w:themeColor="text1"/>
              </w:rPr>
            </w:pPr>
            <w:r w:rsidRPr="19947A6B">
              <w:rPr>
                <w:b/>
                <w:bCs/>
                <w:color w:val="000000" w:themeColor="text1"/>
              </w:rPr>
              <w:t xml:space="preserve">8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A0E2F49" w14:textId="7E6443A1">
            <w:pPr>
              <w:ind w:left="-20" w:right="-20"/>
              <w:rPr>
                <w:color w:val="000000" w:themeColor="text1"/>
              </w:rPr>
            </w:pPr>
            <w:r w:rsidRPr="19947A6B">
              <w:rPr>
                <w:color w:val="000000" w:themeColor="text1"/>
              </w:rPr>
              <w:t xml:space="preserve">63.74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996400B" w14:textId="59545929">
            <w:pPr>
              <w:ind w:left="-20" w:right="-20"/>
              <w:rPr>
                <w:b/>
                <w:bCs/>
                <w:color w:val="000000" w:themeColor="text1"/>
              </w:rPr>
            </w:pPr>
            <w:r w:rsidRPr="19947A6B">
              <w:rPr>
                <w:b/>
                <w:bCs/>
                <w:color w:val="000000" w:themeColor="text1"/>
              </w:rPr>
              <w:t xml:space="preserve">28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5C6DB83" w14:textId="2FEA6AD1">
            <w:pPr>
              <w:ind w:left="-20" w:right="-20"/>
              <w:rPr>
                <w:color w:val="000000" w:themeColor="text1"/>
              </w:rPr>
            </w:pPr>
            <w:r w:rsidRPr="19947A6B">
              <w:rPr>
                <w:color w:val="000000" w:themeColor="text1"/>
              </w:rPr>
              <w:t xml:space="preserve">78.86 </w:t>
            </w:r>
          </w:p>
        </w:tc>
      </w:tr>
      <w:tr w:rsidR="0D03A42B" w:rsidTr="19947A6B" w14:paraId="3621E6F2"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21245741" w14:textId="63E2666B">
            <w:pPr>
              <w:ind w:left="-20" w:right="-20"/>
              <w:rPr>
                <w:b/>
                <w:bCs/>
                <w:color w:val="000000" w:themeColor="text1"/>
              </w:rPr>
            </w:pPr>
            <w:r w:rsidRPr="19947A6B">
              <w:rPr>
                <w:b/>
                <w:bCs/>
                <w:color w:val="000000" w:themeColor="text1"/>
              </w:rPr>
              <w:t xml:space="preserve">9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28AE8B29" w14:textId="625EB398">
            <w:pPr>
              <w:ind w:left="-20" w:right="-20"/>
              <w:rPr>
                <w:color w:val="000000" w:themeColor="text1"/>
              </w:rPr>
            </w:pPr>
            <w:r w:rsidRPr="19947A6B">
              <w:rPr>
                <w:color w:val="000000" w:themeColor="text1"/>
              </w:rPr>
              <w:t xml:space="preserve">91.14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A33218C" w14:textId="7D6E5443">
            <w:pPr>
              <w:ind w:left="-20" w:right="-20"/>
              <w:rPr>
                <w:b/>
                <w:bCs/>
                <w:color w:val="000000" w:themeColor="text1"/>
              </w:rPr>
            </w:pPr>
            <w:r w:rsidRPr="19947A6B">
              <w:rPr>
                <w:b/>
                <w:bCs/>
                <w:color w:val="000000" w:themeColor="text1"/>
              </w:rPr>
              <w:t xml:space="preserve">29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B46CD39" w14:textId="15568046">
            <w:pPr>
              <w:ind w:left="-20" w:right="-20"/>
              <w:rPr>
                <w:color w:val="000000" w:themeColor="text1"/>
              </w:rPr>
            </w:pPr>
            <w:r w:rsidRPr="19947A6B">
              <w:rPr>
                <w:color w:val="000000" w:themeColor="text1"/>
              </w:rPr>
              <w:t xml:space="preserve">77.29 </w:t>
            </w:r>
          </w:p>
        </w:tc>
      </w:tr>
      <w:tr w:rsidR="0D03A42B" w:rsidTr="19947A6B" w14:paraId="00FB476C"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02686DD8" w14:textId="15465DB7">
            <w:pPr>
              <w:ind w:left="-20" w:right="-20"/>
              <w:rPr>
                <w:b/>
                <w:bCs/>
                <w:color w:val="000000" w:themeColor="text1"/>
              </w:rPr>
            </w:pPr>
            <w:r w:rsidRPr="19947A6B">
              <w:rPr>
                <w:b/>
                <w:bCs/>
                <w:color w:val="000000" w:themeColor="text1"/>
              </w:rPr>
              <w:t xml:space="preserve">10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053811E" w14:textId="644BDA3E">
            <w:pPr>
              <w:ind w:left="-20" w:right="-20"/>
              <w:rPr>
                <w:color w:val="000000" w:themeColor="text1"/>
              </w:rPr>
            </w:pPr>
            <w:r w:rsidRPr="19947A6B">
              <w:rPr>
                <w:color w:val="000000" w:themeColor="text1"/>
              </w:rPr>
              <w:t xml:space="preserve">99.14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D8B89A1" w14:textId="13356A21">
            <w:pPr>
              <w:ind w:left="-20" w:right="-20"/>
              <w:rPr>
                <w:b/>
                <w:bCs/>
                <w:color w:val="000000" w:themeColor="text1"/>
              </w:rPr>
            </w:pPr>
            <w:r w:rsidRPr="19947A6B">
              <w:rPr>
                <w:b/>
                <w:bCs/>
                <w:color w:val="000000" w:themeColor="text1"/>
              </w:rPr>
              <w:t xml:space="preserve">30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209A90B8" w14:textId="755925EA">
            <w:pPr>
              <w:ind w:left="-20" w:right="-20"/>
              <w:rPr>
                <w:color w:val="000000" w:themeColor="text1"/>
              </w:rPr>
            </w:pPr>
            <w:r w:rsidRPr="19947A6B">
              <w:rPr>
                <w:color w:val="000000" w:themeColor="text1"/>
              </w:rPr>
              <w:t xml:space="preserve">91.57 </w:t>
            </w:r>
          </w:p>
        </w:tc>
      </w:tr>
      <w:tr w:rsidR="0D03A42B" w:rsidTr="19947A6B" w14:paraId="6341AAAB"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6C10AE86" w14:textId="76258995">
            <w:pPr>
              <w:ind w:left="-20" w:right="-20"/>
              <w:rPr>
                <w:b/>
                <w:bCs/>
                <w:color w:val="000000" w:themeColor="text1"/>
              </w:rPr>
            </w:pPr>
            <w:r w:rsidRPr="19947A6B">
              <w:rPr>
                <w:b/>
                <w:bCs/>
                <w:color w:val="000000" w:themeColor="text1"/>
              </w:rPr>
              <w:t xml:space="preserve">11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7B5AFFB0" w14:textId="0F9A0E10">
            <w:pPr>
              <w:ind w:left="-20" w:right="-20"/>
              <w:rPr>
                <w:color w:val="000000" w:themeColor="text1"/>
              </w:rPr>
            </w:pPr>
            <w:r w:rsidRPr="19947A6B">
              <w:rPr>
                <w:color w:val="000000" w:themeColor="text1"/>
              </w:rPr>
              <w:t xml:space="preserve">74.14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A033369" w14:textId="6E1BDD08">
            <w:pPr>
              <w:ind w:left="-20" w:right="-20"/>
              <w:rPr>
                <w:b/>
                <w:bCs/>
                <w:color w:val="000000" w:themeColor="text1"/>
              </w:rPr>
            </w:pPr>
            <w:r w:rsidRPr="19947A6B">
              <w:rPr>
                <w:b/>
                <w:bCs/>
                <w:color w:val="000000" w:themeColor="text1"/>
              </w:rPr>
              <w:t xml:space="preserve">31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F19241D" w14:textId="1A0A3645">
            <w:pPr>
              <w:ind w:left="-20" w:right="-20"/>
              <w:rPr>
                <w:color w:val="000000" w:themeColor="text1"/>
              </w:rPr>
            </w:pPr>
            <w:r w:rsidRPr="19947A6B">
              <w:rPr>
                <w:color w:val="000000" w:themeColor="text1"/>
              </w:rPr>
              <w:t xml:space="preserve">74.86 </w:t>
            </w:r>
          </w:p>
        </w:tc>
      </w:tr>
      <w:tr w:rsidR="0D03A42B" w:rsidTr="19947A6B" w14:paraId="15E891ED"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22C96AC6" w14:textId="184638CB">
            <w:pPr>
              <w:ind w:left="-20" w:right="-20"/>
              <w:rPr>
                <w:b/>
                <w:bCs/>
                <w:color w:val="000000" w:themeColor="text1"/>
              </w:rPr>
            </w:pPr>
            <w:r w:rsidRPr="19947A6B">
              <w:rPr>
                <w:b/>
                <w:bCs/>
                <w:color w:val="000000" w:themeColor="text1"/>
              </w:rPr>
              <w:t xml:space="preserve">12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2ED3FFC" w14:textId="52E7A11F">
            <w:pPr>
              <w:ind w:left="-20" w:right="-20"/>
              <w:rPr>
                <w:color w:val="000000" w:themeColor="text1"/>
              </w:rPr>
            </w:pPr>
            <w:r w:rsidRPr="19947A6B">
              <w:rPr>
                <w:color w:val="000000" w:themeColor="text1"/>
              </w:rPr>
              <w:t xml:space="preserve">88.57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171EF321" w14:textId="22D931DA">
            <w:pPr>
              <w:ind w:left="-20" w:right="-20"/>
              <w:rPr>
                <w:b/>
                <w:bCs/>
                <w:color w:val="000000" w:themeColor="text1"/>
              </w:rPr>
            </w:pPr>
            <w:r w:rsidRPr="19947A6B">
              <w:rPr>
                <w:b/>
                <w:bCs/>
                <w:color w:val="000000" w:themeColor="text1"/>
              </w:rPr>
              <w:t xml:space="preserve">32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FA24009" w14:textId="148D8C35">
            <w:pPr>
              <w:ind w:left="-20" w:right="-20"/>
              <w:rPr>
                <w:color w:val="000000" w:themeColor="text1"/>
              </w:rPr>
            </w:pPr>
            <w:r w:rsidRPr="19947A6B">
              <w:rPr>
                <w:color w:val="000000" w:themeColor="text1"/>
              </w:rPr>
              <w:t xml:space="preserve">96.94 </w:t>
            </w:r>
          </w:p>
        </w:tc>
      </w:tr>
      <w:tr w:rsidR="0D03A42B" w:rsidTr="19947A6B" w14:paraId="7491EA04"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16287F50" w14:textId="46FAAB98">
            <w:pPr>
              <w:ind w:left="-20" w:right="-20"/>
              <w:rPr>
                <w:b/>
                <w:bCs/>
                <w:color w:val="000000" w:themeColor="text1"/>
              </w:rPr>
            </w:pPr>
            <w:r w:rsidRPr="19947A6B">
              <w:rPr>
                <w:b/>
                <w:bCs/>
                <w:color w:val="000000" w:themeColor="text1"/>
              </w:rPr>
              <w:t xml:space="preserve">13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873E828" w14:textId="40013107">
            <w:pPr>
              <w:ind w:left="-20" w:right="-20"/>
              <w:rPr>
                <w:color w:val="000000" w:themeColor="text1"/>
              </w:rPr>
            </w:pPr>
            <w:r w:rsidRPr="19947A6B">
              <w:rPr>
                <w:color w:val="000000" w:themeColor="text1"/>
              </w:rPr>
              <w:t xml:space="preserve">84.86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DC6CFDB" w14:textId="4B0E780B">
            <w:pPr>
              <w:ind w:left="-20" w:right="-20"/>
              <w:rPr>
                <w:b/>
                <w:bCs/>
                <w:color w:val="000000" w:themeColor="text1"/>
              </w:rPr>
            </w:pPr>
            <w:r w:rsidRPr="19947A6B">
              <w:rPr>
                <w:b/>
                <w:bCs/>
                <w:color w:val="000000" w:themeColor="text1"/>
              </w:rPr>
              <w:t xml:space="preserve">33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2B0E1C9" w14:textId="52C49CA0">
            <w:pPr>
              <w:ind w:left="-20" w:right="-20"/>
              <w:rPr>
                <w:color w:val="000000" w:themeColor="text1"/>
              </w:rPr>
            </w:pPr>
            <w:r w:rsidRPr="19947A6B">
              <w:rPr>
                <w:color w:val="000000" w:themeColor="text1"/>
              </w:rPr>
              <w:t xml:space="preserve">86.86 </w:t>
            </w:r>
          </w:p>
        </w:tc>
      </w:tr>
      <w:tr w:rsidR="0D03A42B" w:rsidTr="19947A6B" w14:paraId="328A63A8"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69EE5BAE" w14:textId="09682EBE">
            <w:pPr>
              <w:ind w:left="-20" w:right="-20"/>
              <w:rPr>
                <w:b/>
                <w:bCs/>
                <w:color w:val="000000" w:themeColor="text1"/>
              </w:rPr>
            </w:pPr>
            <w:r w:rsidRPr="19947A6B">
              <w:rPr>
                <w:b/>
                <w:bCs/>
                <w:color w:val="000000" w:themeColor="text1"/>
              </w:rPr>
              <w:t xml:space="preserve">14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711B38E" w14:textId="14F0E8EE">
            <w:pPr>
              <w:ind w:left="-20" w:right="-20"/>
              <w:rPr>
                <w:color w:val="000000" w:themeColor="text1"/>
              </w:rPr>
            </w:pPr>
            <w:r w:rsidRPr="19947A6B">
              <w:rPr>
                <w:color w:val="000000" w:themeColor="text1"/>
              </w:rPr>
              <w:t xml:space="preserve">56.00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C04E05B" w14:textId="0B470B4D">
            <w:pPr>
              <w:ind w:left="-20" w:right="-20"/>
              <w:rPr>
                <w:b/>
                <w:bCs/>
                <w:color w:val="000000" w:themeColor="text1"/>
              </w:rPr>
            </w:pPr>
            <w:r w:rsidRPr="19947A6B">
              <w:rPr>
                <w:b/>
                <w:bCs/>
                <w:color w:val="000000" w:themeColor="text1"/>
              </w:rPr>
              <w:t xml:space="preserve">34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45815E4B" w14:textId="2243D698">
            <w:pPr>
              <w:ind w:left="-20" w:right="-20"/>
              <w:rPr>
                <w:color w:val="000000" w:themeColor="text1"/>
              </w:rPr>
            </w:pPr>
            <w:r w:rsidRPr="19947A6B">
              <w:rPr>
                <w:color w:val="000000" w:themeColor="text1"/>
              </w:rPr>
              <w:t xml:space="preserve">63.74 </w:t>
            </w:r>
          </w:p>
        </w:tc>
      </w:tr>
      <w:tr w:rsidR="0D03A42B" w:rsidTr="19947A6B" w14:paraId="0F49AC93"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2C2A3294" w14:textId="7F6EE4D4">
            <w:pPr>
              <w:ind w:left="-20" w:right="-20"/>
              <w:rPr>
                <w:b/>
                <w:bCs/>
                <w:color w:val="000000" w:themeColor="text1"/>
              </w:rPr>
            </w:pPr>
            <w:r w:rsidRPr="19947A6B">
              <w:rPr>
                <w:b/>
                <w:bCs/>
                <w:color w:val="000000" w:themeColor="text1"/>
              </w:rPr>
              <w:t xml:space="preserve">15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5F9095B" w14:textId="27A37654">
            <w:pPr>
              <w:ind w:left="-20" w:right="-20"/>
              <w:rPr>
                <w:color w:val="000000" w:themeColor="text1"/>
              </w:rPr>
            </w:pPr>
            <w:r w:rsidRPr="19947A6B">
              <w:rPr>
                <w:color w:val="000000" w:themeColor="text1"/>
              </w:rPr>
              <w:t xml:space="preserve">75.43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1AFB93F" w14:textId="4DF56536">
            <w:pPr>
              <w:ind w:left="-20" w:right="-20"/>
              <w:rPr>
                <w:b/>
                <w:bCs/>
                <w:color w:val="000000" w:themeColor="text1"/>
              </w:rPr>
            </w:pPr>
            <w:r w:rsidRPr="19947A6B">
              <w:rPr>
                <w:b/>
                <w:bCs/>
                <w:color w:val="000000" w:themeColor="text1"/>
              </w:rPr>
              <w:t xml:space="preserve">35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22ECFC95" w14:textId="49F6F4A2">
            <w:pPr>
              <w:ind w:left="-20" w:right="-20"/>
              <w:rPr>
                <w:color w:val="000000" w:themeColor="text1"/>
              </w:rPr>
            </w:pPr>
            <w:r w:rsidRPr="19947A6B">
              <w:rPr>
                <w:color w:val="000000" w:themeColor="text1"/>
              </w:rPr>
              <w:t xml:space="preserve">91.14 </w:t>
            </w:r>
          </w:p>
        </w:tc>
      </w:tr>
      <w:tr w:rsidR="0D03A42B" w:rsidTr="19947A6B" w14:paraId="1F351F46"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39DF7F68" w14:textId="3D27CB64">
            <w:pPr>
              <w:ind w:left="-20" w:right="-20"/>
              <w:rPr>
                <w:b/>
                <w:bCs/>
                <w:color w:val="000000" w:themeColor="text1"/>
              </w:rPr>
            </w:pPr>
            <w:r w:rsidRPr="19947A6B">
              <w:rPr>
                <w:b/>
                <w:bCs/>
                <w:color w:val="000000" w:themeColor="text1"/>
              </w:rPr>
              <w:t xml:space="preserve">16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3EC67170" w14:textId="26C86929">
            <w:pPr>
              <w:ind w:left="-20" w:right="-20"/>
              <w:rPr>
                <w:color w:val="000000" w:themeColor="text1"/>
              </w:rPr>
            </w:pPr>
            <w:r w:rsidRPr="19947A6B">
              <w:rPr>
                <w:color w:val="000000" w:themeColor="text1"/>
              </w:rPr>
              <w:t xml:space="preserve">56.86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7AA7E96" w14:textId="6CD3C724">
            <w:pPr>
              <w:ind w:left="-20" w:right="-20"/>
              <w:rPr>
                <w:b/>
                <w:bCs/>
                <w:color w:val="000000" w:themeColor="text1"/>
              </w:rPr>
            </w:pPr>
            <w:r w:rsidRPr="19947A6B">
              <w:rPr>
                <w:b/>
                <w:bCs/>
                <w:color w:val="000000" w:themeColor="text1"/>
              </w:rPr>
              <w:t xml:space="preserve">36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12B9EA5" w14:textId="7731D056">
            <w:pPr>
              <w:ind w:left="-20" w:right="-20"/>
              <w:rPr>
                <w:color w:val="000000" w:themeColor="text1"/>
              </w:rPr>
            </w:pPr>
            <w:r w:rsidRPr="19947A6B">
              <w:rPr>
                <w:color w:val="000000" w:themeColor="text1"/>
              </w:rPr>
              <w:t xml:space="preserve">99.14 </w:t>
            </w:r>
          </w:p>
        </w:tc>
      </w:tr>
      <w:tr w:rsidR="0D03A42B" w:rsidTr="19947A6B" w14:paraId="19024B13"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2A97A348" w14:textId="2DC8126D">
            <w:pPr>
              <w:ind w:left="-20" w:right="-20"/>
              <w:rPr>
                <w:b/>
                <w:bCs/>
                <w:color w:val="000000" w:themeColor="text1"/>
              </w:rPr>
            </w:pPr>
            <w:r w:rsidRPr="19947A6B">
              <w:rPr>
                <w:b/>
                <w:bCs/>
                <w:color w:val="000000" w:themeColor="text1"/>
              </w:rPr>
              <w:t xml:space="preserve">17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2D79ABA" w14:textId="0155D1BA">
            <w:pPr>
              <w:ind w:left="-20" w:right="-20"/>
              <w:rPr>
                <w:color w:val="000000" w:themeColor="text1"/>
              </w:rPr>
            </w:pPr>
            <w:r w:rsidRPr="19947A6B">
              <w:rPr>
                <w:color w:val="000000" w:themeColor="text1"/>
              </w:rPr>
              <w:t xml:space="preserve">90.00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A10486B" w14:textId="01BF8076">
            <w:pPr>
              <w:ind w:left="-20" w:right="-20"/>
              <w:rPr>
                <w:b/>
                <w:bCs/>
                <w:color w:val="000000" w:themeColor="text1"/>
              </w:rPr>
            </w:pPr>
            <w:r w:rsidRPr="19947A6B">
              <w:rPr>
                <w:b/>
                <w:bCs/>
                <w:color w:val="000000" w:themeColor="text1"/>
              </w:rPr>
              <w:t xml:space="preserve">37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1DD3792" w14:textId="7B75EEFF">
            <w:pPr>
              <w:ind w:left="-20" w:right="-20"/>
              <w:rPr>
                <w:color w:val="000000" w:themeColor="text1"/>
              </w:rPr>
            </w:pPr>
            <w:r w:rsidRPr="19947A6B">
              <w:rPr>
                <w:color w:val="000000" w:themeColor="text1"/>
              </w:rPr>
              <w:t xml:space="preserve">74.14 </w:t>
            </w:r>
          </w:p>
        </w:tc>
      </w:tr>
      <w:tr w:rsidR="0D03A42B" w:rsidTr="19947A6B" w14:paraId="7A5492F8"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791DAB27" w14:textId="1779DE71">
            <w:pPr>
              <w:ind w:left="-20" w:right="-20"/>
              <w:rPr>
                <w:b/>
                <w:bCs/>
                <w:color w:val="000000" w:themeColor="text1"/>
              </w:rPr>
            </w:pPr>
            <w:r w:rsidRPr="19947A6B">
              <w:rPr>
                <w:b/>
                <w:bCs/>
                <w:color w:val="000000" w:themeColor="text1"/>
              </w:rPr>
              <w:t xml:space="preserve">18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5D699722" w14:textId="59F641D0">
            <w:pPr>
              <w:ind w:left="-20" w:right="-20"/>
              <w:rPr>
                <w:color w:val="000000" w:themeColor="text1"/>
              </w:rPr>
            </w:pPr>
            <w:r w:rsidRPr="19947A6B">
              <w:rPr>
                <w:color w:val="000000" w:themeColor="text1"/>
              </w:rPr>
              <w:t xml:space="preserve">76.43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BADBE34" w14:textId="7C5815AC">
            <w:pPr>
              <w:ind w:left="-20" w:right="-20"/>
              <w:rPr>
                <w:b/>
                <w:bCs/>
                <w:color w:val="000000" w:themeColor="text1"/>
              </w:rPr>
            </w:pPr>
            <w:r w:rsidRPr="19947A6B">
              <w:rPr>
                <w:b/>
                <w:bCs/>
                <w:color w:val="000000" w:themeColor="text1"/>
              </w:rPr>
              <w:t xml:space="preserve">38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D59FB63" w14:textId="28D16A28">
            <w:pPr>
              <w:ind w:left="-20" w:right="-20"/>
              <w:rPr>
                <w:color w:val="000000" w:themeColor="text1"/>
              </w:rPr>
            </w:pPr>
            <w:r w:rsidRPr="19947A6B">
              <w:rPr>
                <w:color w:val="000000" w:themeColor="text1"/>
              </w:rPr>
              <w:t xml:space="preserve">88.57 </w:t>
            </w:r>
          </w:p>
        </w:tc>
      </w:tr>
      <w:tr w:rsidR="0D03A42B" w:rsidTr="19947A6B" w14:paraId="3F5718B8" w14:textId="77777777">
        <w:trPr>
          <w:trHeight w:val="225"/>
        </w:trPr>
        <w:tc>
          <w:tcPr>
            <w:tcW w:w="720" w:type="dxa"/>
            <w:tcBorders>
              <w:top w:val="nil"/>
              <w:left w:val="nil"/>
              <w:bottom w:val="nil"/>
              <w:right w:val="nil"/>
            </w:tcBorders>
            <w:tcMar>
              <w:top w:w="17" w:type="dxa"/>
              <w:left w:w="34" w:type="dxa"/>
              <w:bottom w:w="17" w:type="dxa"/>
              <w:right w:w="34" w:type="dxa"/>
            </w:tcMar>
            <w:vAlign w:val="bottom"/>
          </w:tcPr>
          <w:p w:rsidR="0D03A42B" w:rsidP="19947A6B" w:rsidRDefault="10E06621" w14:paraId="7291A9B4" w14:textId="1AFC6A18">
            <w:pPr>
              <w:ind w:left="-20" w:right="-20"/>
              <w:rPr>
                <w:b/>
                <w:bCs/>
                <w:color w:val="000000" w:themeColor="text1"/>
              </w:rPr>
            </w:pPr>
            <w:r w:rsidRPr="19947A6B">
              <w:rPr>
                <w:b/>
                <w:bCs/>
                <w:color w:val="000000" w:themeColor="text1"/>
              </w:rPr>
              <w:t xml:space="preserve">19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6237450C" w14:textId="67396142">
            <w:pPr>
              <w:ind w:left="-20" w:right="-20"/>
              <w:rPr>
                <w:color w:val="000000" w:themeColor="text1"/>
              </w:rPr>
            </w:pPr>
            <w:r w:rsidRPr="19947A6B">
              <w:rPr>
                <w:color w:val="000000" w:themeColor="text1"/>
              </w:rPr>
              <w:t xml:space="preserve">96.94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00C15310" w14:textId="45F4A233">
            <w:pPr>
              <w:ind w:left="-20" w:right="-20"/>
              <w:rPr>
                <w:b/>
                <w:bCs/>
                <w:color w:val="000000" w:themeColor="text1"/>
              </w:rPr>
            </w:pPr>
            <w:r w:rsidRPr="19947A6B">
              <w:rPr>
                <w:b/>
                <w:bCs/>
                <w:color w:val="000000" w:themeColor="text1"/>
              </w:rPr>
              <w:t xml:space="preserve">39 </w:t>
            </w:r>
          </w:p>
        </w:tc>
        <w:tc>
          <w:tcPr>
            <w:tcW w:w="825" w:type="dxa"/>
            <w:tcBorders>
              <w:top w:val="nil"/>
              <w:left w:val="nil"/>
              <w:bottom w:val="nil"/>
              <w:right w:val="nil"/>
            </w:tcBorders>
            <w:tcMar>
              <w:top w:w="17" w:type="dxa"/>
              <w:left w:w="34" w:type="dxa"/>
              <w:bottom w:w="17" w:type="dxa"/>
              <w:right w:w="34" w:type="dxa"/>
            </w:tcMar>
            <w:vAlign w:val="bottom"/>
          </w:tcPr>
          <w:p w:rsidR="0D03A42B" w:rsidP="19947A6B" w:rsidRDefault="10E06621" w14:paraId="74BAEF87" w14:textId="037F3290">
            <w:pPr>
              <w:ind w:left="-20" w:right="-20"/>
              <w:rPr>
                <w:color w:val="000000" w:themeColor="text1"/>
              </w:rPr>
            </w:pPr>
            <w:r w:rsidRPr="19947A6B">
              <w:rPr>
                <w:color w:val="000000" w:themeColor="text1"/>
              </w:rPr>
              <w:t xml:space="preserve">84.86 </w:t>
            </w:r>
          </w:p>
        </w:tc>
      </w:tr>
      <w:tr w:rsidR="0D03A42B" w:rsidTr="19947A6B" w14:paraId="5BAA2D3D"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0D03A42B" w:rsidP="0D03A42B" w:rsidRDefault="0D03A42B" w14:paraId="1CBAEC23" w14:textId="01A042D3">
            <w:pPr>
              <w:ind w:left="-20" w:right="-20"/>
              <w:rPr>
                <w:b/>
                <w:bCs/>
                <w:color w:val="000000" w:themeColor="text1"/>
              </w:rPr>
            </w:pPr>
            <w:r w:rsidRPr="0D03A42B">
              <w:rPr>
                <w:b/>
                <w:bCs/>
                <w:color w:val="000000" w:themeColor="text1"/>
              </w:rPr>
              <w:t xml:space="preserve">20 </w:t>
            </w: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6F2E3C1B" w14:textId="30460BE4">
            <w:pPr>
              <w:ind w:left="-20" w:right="-20"/>
              <w:rPr>
                <w:color w:val="000000" w:themeColor="text1"/>
              </w:rPr>
            </w:pPr>
            <w:r w:rsidRPr="0D03A42B">
              <w:rPr>
                <w:color w:val="000000" w:themeColor="text1"/>
              </w:rPr>
              <w:t xml:space="preserve">86.86 </w:t>
            </w: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73B1FB29" w14:textId="0811EF00">
            <w:pPr>
              <w:ind w:left="-20" w:right="-20"/>
              <w:rPr>
                <w:b/>
                <w:bCs/>
                <w:color w:val="000000" w:themeColor="text1"/>
              </w:rPr>
            </w:pPr>
            <w:r w:rsidRPr="0D03A42B">
              <w:rPr>
                <w:b/>
                <w:bCs/>
                <w:color w:val="000000" w:themeColor="text1"/>
              </w:rPr>
              <w:t xml:space="preserve">40 </w:t>
            </w: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306FF303" w14:textId="166A3DB2">
            <w:pPr>
              <w:ind w:left="-20" w:right="-20"/>
              <w:rPr>
                <w:color w:val="000000" w:themeColor="text1"/>
              </w:rPr>
            </w:pPr>
            <w:r w:rsidRPr="0D03A42B">
              <w:rPr>
                <w:color w:val="000000" w:themeColor="text1"/>
              </w:rPr>
              <w:t>82.39</w:t>
            </w:r>
          </w:p>
        </w:tc>
      </w:tr>
      <w:tr w:rsidR="0D03A42B" w:rsidTr="19947A6B" w14:paraId="79B50FAD" w14:textId="77777777">
        <w:trPr>
          <w:trHeight w:val="285"/>
        </w:trPr>
        <w:tc>
          <w:tcPr>
            <w:tcW w:w="720" w:type="dxa"/>
            <w:tcBorders>
              <w:top w:val="nil"/>
              <w:left w:val="nil"/>
              <w:bottom w:val="nil"/>
              <w:right w:val="nil"/>
            </w:tcBorders>
            <w:tcMar>
              <w:top w:w="17" w:type="dxa"/>
              <w:left w:w="34" w:type="dxa"/>
              <w:bottom w:w="17" w:type="dxa"/>
              <w:right w:w="34" w:type="dxa"/>
            </w:tcMar>
            <w:vAlign w:val="bottom"/>
          </w:tcPr>
          <w:p w:rsidR="29828918" w:rsidP="19947A6B" w:rsidRDefault="3ED8333F" w14:paraId="5E386994" w14:textId="54EDE6BD">
            <w:pPr>
              <w:ind w:right="-2520"/>
              <w:rPr>
                <w:i/>
                <w:iCs/>
                <w:color w:val="000000" w:themeColor="text1"/>
              </w:rPr>
            </w:pPr>
            <w:r w:rsidRPr="19947A6B">
              <w:rPr>
                <w:i/>
                <w:iCs/>
                <w:color w:val="000000" w:themeColor="text1"/>
              </w:rPr>
              <w:t>Note: R=respondent SI=Strength Index</w:t>
            </w: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3E0CBC59" w14:textId="26412FA6">
            <w:pPr>
              <w:rPr>
                <w:color w:val="000000" w:themeColor="text1"/>
              </w:rPr>
            </w:pP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27A2CECA" w14:textId="588C7834">
            <w:pPr>
              <w:rPr>
                <w:b/>
                <w:bCs/>
                <w:color w:val="000000" w:themeColor="text1"/>
              </w:rPr>
            </w:pPr>
          </w:p>
        </w:tc>
        <w:tc>
          <w:tcPr>
            <w:tcW w:w="825" w:type="dxa"/>
            <w:tcBorders>
              <w:top w:val="nil"/>
              <w:left w:val="nil"/>
              <w:bottom w:val="nil"/>
              <w:right w:val="nil"/>
            </w:tcBorders>
            <w:tcMar>
              <w:top w:w="17" w:type="dxa"/>
              <w:left w:w="34" w:type="dxa"/>
              <w:bottom w:w="17" w:type="dxa"/>
              <w:right w:w="34" w:type="dxa"/>
            </w:tcMar>
            <w:vAlign w:val="bottom"/>
          </w:tcPr>
          <w:p w:rsidR="0D03A42B" w:rsidP="0D03A42B" w:rsidRDefault="0D03A42B" w14:paraId="3F610805" w14:textId="2321B8F4">
            <w:pPr>
              <w:rPr>
                <w:color w:val="000000" w:themeColor="text1"/>
              </w:rPr>
            </w:pPr>
          </w:p>
        </w:tc>
      </w:tr>
    </w:tbl>
    <w:p w:rsidR="548C78CC" w:rsidP="0D03A42B" w:rsidRDefault="5BA44CA8" w14:paraId="52B72084" w14:textId="5D0AE860">
      <w:pPr>
        <w:spacing w:line="480" w:lineRule="auto"/>
      </w:pPr>
      <w:r>
        <w:t>Figure A2. Strength Indices of the Respondents</w:t>
      </w:r>
    </w:p>
    <w:p w:rsidR="0338D246" w:rsidP="19947A6B" w:rsidRDefault="0338D246" w14:paraId="613DBAB3" w14:textId="2BF3C747">
      <w:r w:rsidR="0338D246">
        <w:drawing>
          <wp:inline wp14:editId="767B759B" wp14:anchorId="12E71059">
            <wp:extent cx="2863190" cy="2296518"/>
            <wp:effectExtent l="19050" t="19050" r="19050" b="19050"/>
            <wp:docPr id="1553461091" name="Picture 1553461091" title=""/>
            <wp:cNvGraphicFramePr>
              <a:graphicFrameLocks noChangeAspect="1"/>
            </wp:cNvGraphicFramePr>
            <a:graphic>
              <a:graphicData uri="http://schemas.openxmlformats.org/drawingml/2006/picture">
                <pic:pic>
                  <pic:nvPicPr>
                    <pic:cNvPr id="0" name="Picture 1553461091"/>
                    <pic:cNvPicPr/>
                  </pic:nvPicPr>
                  <pic:blipFill>
                    <a:blip r:embed="R51e68ab842a94f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63190" cy="2296518"/>
                    </a:xfrm>
                    <a:prstGeom prst="rect">
                      <a:avLst/>
                    </a:prstGeom>
                    <a:ln w="19050">
                      <a:solidFill>
                        <a:schemeClr val="tx1"/>
                      </a:solidFill>
                      <a:prstDash val="solid"/>
                    </a:ln>
                  </pic:spPr>
                </pic:pic>
              </a:graphicData>
            </a:graphic>
          </wp:inline>
        </w:drawing>
      </w:r>
    </w:p>
    <w:p w:rsidR="19947A6B" w:rsidRDefault="19947A6B" w14:paraId="13A7DCBA" w14:textId="79E48F0E"/>
    <w:p w:rsidR="19947A6B" w:rsidP="32097814" w:rsidRDefault="19947A6B" w14:paraId="6D3B9259" w14:textId="08F3E643">
      <w:pPr>
        <w:spacing w:line="259" w:lineRule="auto"/>
      </w:pPr>
      <w:r w:rsidR="0338D246">
        <w:rPr/>
        <w:t>Figure A3.</w:t>
      </w:r>
      <w:r w:rsidR="0F1417A7">
        <w:rPr/>
        <w:t xml:space="preserve"> Factors influencing </w:t>
      </w:r>
      <w:r w:rsidR="11067014">
        <w:rPr/>
        <w:t>p</w:t>
      </w:r>
      <w:r w:rsidR="0F1417A7">
        <w:rPr/>
        <w:t xml:space="preserve">arent </w:t>
      </w:r>
      <w:r w:rsidR="3482357C">
        <w:rPr/>
        <w:t>p</w:t>
      </w:r>
      <w:r w:rsidR="0F1417A7">
        <w:rPr/>
        <w:t>erception</w:t>
      </w:r>
    </w:p>
    <w:p w:rsidR="4FE36FF4" w:rsidP="32097814" w:rsidRDefault="06DA6534" w14:paraId="0FC86E36" w14:textId="677EA359">
      <w:pPr>
        <w:pStyle w:val="Normal"/>
        <w:spacing w:line="480" w:lineRule="auto"/>
        <w:jc w:val="center"/>
        <w:rPr>
          <w:color w:val="222222"/>
        </w:rPr>
      </w:pPr>
      <w:r w:rsidRPr="726FEA4D" w:rsidR="06DA6534">
        <w:rPr>
          <w:b w:val="1"/>
          <w:bCs w:val="1"/>
        </w:rPr>
        <w:t>References</w:t>
      </w:r>
    </w:p>
    <w:p w:rsidR="0ECC57EC" w:rsidP="33BB72CD" w:rsidRDefault="0ECC57EC" w14:paraId="149B6E05" w14:textId="5B75E462">
      <w:pPr>
        <w:pStyle w:val="Normal"/>
        <w:spacing w:line="480" w:lineRule="auto"/>
        <w:rPr>
          <w:color w:val="222222"/>
        </w:rPr>
      </w:pPr>
      <w:r w:rsidRPr="33BB72CD" w:rsidR="0ECC57EC">
        <w:rPr>
          <w:color w:val="222222"/>
        </w:rPr>
        <w:t xml:space="preserve">Bandura, A. (1997). </w:t>
      </w:r>
      <w:r w:rsidRPr="33BB72CD" w:rsidR="0ECC57EC">
        <w:rPr>
          <w:i w:val="1"/>
          <w:iCs w:val="1"/>
          <w:color w:val="222222"/>
        </w:rPr>
        <w:t>Self-efficacy: The exercise of control</w:t>
      </w:r>
      <w:r w:rsidRPr="33BB72CD" w:rsidR="0ECC57EC">
        <w:rPr>
          <w:color w:val="222222"/>
        </w:rPr>
        <w:t>. New York: Freeman.</w:t>
      </w:r>
    </w:p>
    <w:p w:rsidR="7DC37BF3" w:rsidP="19947A6B" w:rsidRDefault="7F32C0B3" w14:paraId="676D6C77" w14:textId="0577C054">
      <w:pPr>
        <w:spacing w:line="480" w:lineRule="auto"/>
        <w:rPr>
          <w:color w:val="222222"/>
        </w:rPr>
      </w:pPr>
      <w:r w:rsidRPr="726FEA4D" w:rsidR="7F32C0B3">
        <w:rPr>
          <w:color w:val="222222"/>
        </w:rPr>
        <w:t xml:space="preserve">Bondy, E., Ross, D. D., </w:t>
      </w:r>
      <w:r w:rsidRPr="726FEA4D" w:rsidR="7F32C0B3">
        <w:rPr>
          <w:color w:val="222222"/>
        </w:rPr>
        <w:t>Gallingane</w:t>
      </w:r>
      <w:r w:rsidRPr="726FEA4D" w:rsidR="7F32C0B3">
        <w:rPr>
          <w:color w:val="222222"/>
        </w:rPr>
        <w:t xml:space="preserve">, C., &amp; </w:t>
      </w:r>
      <w:r w:rsidRPr="726FEA4D" w:rsidR="7F32C0B3">
        <w:rPr>
          <w:color w:val="222222"/>
        </w:rPr>
        <w:t>Hambacher</w:t>
      </w:r>
      <w:r w:rsidRPr="726FEA4D" w:rsidR="7F32C0B3">
        <w:rPr>
          <w:color w:val="222222"/>
        </w:rPr>
        <w:t>, E. (2007). Creating environmen</w:t>
      </w:r>
      <w:r w:rsidRPr="726FEA4D" w:rsidR="6771E502">
        <w:rPr>
          <w:color w:val="222222"/>
        </w:rPr>
        <w:t>Del</w:t>
      </w:r>
      <w:r w:rsidRPr="726FEA4D" w:rsidR="7F32C0B3">
        <w:rPr>
          <w:color w:val="222222"/>
        </w:rPr>
        <w:t xml:space="preserve">ts of </w:t>
      </w:r>
      <w:r>
        <w:tab/>
      </w:r>
      <w:r w:rsidRPr="726FEA4D" w:rsidR="7F32C0B3">
        <w:rPr>
          <w:color w:val="222222"/>
        </w:rPr>
        <w:t xml:space="preserve">success and resilience: Culturally responsive classroom management and more. </w:t>
      </w:r>
      <w:r w:rsidRPr="726FEA4D" w:rsidR="7F32C0B3">
        <w:rPr>
          <w:i w:val="1"/>
          <w:iCs w:val="1"/>
          <w:color w:val="222222"/>
        </w:rPr>
        <w:t xml:space="preserve">Urban </w:t>
      </w:r>
      <w:r>
        <w:tab/>
      </w:r>
      <w:r w:rsidRPr="726FEA4D" w:rsidR="7F32C0B3">
        <w:rPr>
          <w:i w:val="1"/>
          <w:iCs w:val="1"/>
          <w:color w:val="222222"/>
        </w:rPr>
        <w:t>education</w:t>
      </w:r>
      <w:r w:rsidRPr="726FEA4D" w:rsidR="7F32C0B3">
        <w:rPr>
          <w:color w:val="222222"/>
        </w:rPr>
        <w:t xml:space="preserve">, </w:t>
      </w:r>
      <w:r w:rsidRPr="726FEA4D" w:rsidR="7F32C0B3">
        <w:rPr>
          <w:i w:val="1"/>
          <w:iCs w:val="1"/>
          <w:color w:val="222222"/>
        </w:rPr>
        <w:t>42</w:t>
      </w:r>
      <w:r w:rsidRPr="726FEA4D" w:rsidR="7F32C0B3">
        <w:rPr>
          <w:color w:val="222222"/>
        </w:rPr>
        <w:t>(4), 326-348.</w:t>
      </w:r>
    </w:p>
    <w:p w:rsidR="694848AB" w:rsidP="19947A6B" w:rsidRDefault="6BDE965A" w14:paraId="5603B491" w14:textId="58BA0D4A">
      <w:pPr>
        <w:spacing w:line="480" w:lineRule="auto"/>
        <w:rPr>
          <w:color w:val="222222"/>
        </w:rPr>
      </w:pPr>
      <w:r w:rsidRPr="19947A6B">
        <w:rPr>
          <w:color w:val="222222"/>
        </w:rPr>
        <w:t>Bussing, R., Zima, B. T., Gary, F. A., &amp; Garvan, C. W. (2003). Barriers to detection, help-</w:t>
      </w:r>
      <w:r w:rsidR="694848AB">
        <w:tab/>
      </w:r>
    </w:p>
    <w:p w:rsidR="694848AB" w:rsidP="19947A6B" w:rsidRDefault="6BDE965A" w14:paraId="1A06D568" w14:textId="41B0978B">
      <w:pPr>
        <w:spacing w:line="480" w:lineRule="auto"/>
        <w:ind w:firstLine="720"/>
        <w:rPr>
          <w:color w:val="222222"/>
        </w:rPr>
      </w:pPr>
      <w:r w:rsidRPr="19947A6B">
        <w:rPr>
          <w:color w:val="222222"/>
        </w:rPr>
        <w:t xml:space="preserve">seeking, and service use for children with ADHD symptoms. </w:t>
      </w:r>
      <w:r w:rsidRPr="19947A6B">
        <w:rPr>
          <w:i/>
          <w:iCs/>
          <w:color w:val="222222"/>
        </w:rPr>
        <w:t>The journal of behavioral</w:t>
      </w:r>
    </w:p>
    <w:p w:rsidR="694848AB" w:rsidP="33BB72CD" w:rsidRDefault="6BDE965A" w14:paraId="10905C69" w14:textId="0548FF7F">
      <w:pPr>
        <w:spacing w:line="480" w:lineRule="auto"/>
        <w:ind w:firstLine="720"/>
        <w:rPr>
          <w:rFonts w:ascii="Times New Roman" w:hAnsi="Times New Roman" w:eastAsia="Times New Roman" w:cs="Times New Roman"/>
          <w:color w:val="222222"/>
          <w:sz w:val="24"/>
          <w:szCs w:val="24"/>
        </w:rPr>
      </w:pPr>
      <w:r w:rsidRPr="33BB72CD" w:rsidR="6BDE965A">
        <w:rPr>
          <w:i w:val="1"/>
          <w:iCs w:val="1"/>
          <w:color w:val="222222"/>
        </w:rPr>
        <w:t>health services &amp; research</w:t>
      </w:r>
      <w:r w:rsidRPr="33BB72CD" w:rsidR="6BDE965A">
        <w:rPr>
          <w:color w:val="222222"/>
        </w:rPr>
        <w:t xml:space="preserve">, </w:t>
      </w:r>
      <w:r w:rsidRPr="33BB72CD" w:rsidR="6BDE965A">
        <w:rPr>
          <w:i w:val="1"/>
          <w:iCs w:val="1"/>
          <w:color w:val="222222"/>
        </w:rPr>
        <w:t>30</w:t>
      </w:r>
      <w:r w:rsidRPr="33BB72CD" w:rsidR="6BDE965A">
        <w:rPr>
          <w:color w:val="222222"/>
        </w:rPr>
        <w:t>, 176-189.</w:t>
      </w:r>
    </w:p>
    <w:p w:rsidR="5287E7FD" w:rsidP="33BB72CD" w:rsidRDefault="5287E7FD" w14:paraId="1D221565" w14:textId="0544D41B">
      <w:pPr>
        <w:pStyle w:val="Normal"/>
        <w:spacing w:line="480" w:lineRule="auto"/>
        <w:ind w:firstLine="0"/>
        <w:rPr>
          <w:rFonts w:ascii="Times New Roman" w:hAnsi="Times New Roman" w:eastAsia="Times New Roman" w:cs="Times New Roman"/>
          <w:b w:val="0"/>
          <w:bCs w:val="0"/>
          <w:i w:val="0"/>
          <w:iCs w:val="0"/>
          <w:caps w:val="0"/>
          <w:smallCaps w:val="0"/>
          <w:noProof w:val="0"/>
          <w:color w:val="222222"/>
          <w:sz w:val="24"/>
          <w:szCs w:val="24"/>
          <w:lang w:val="en-US"/>
        </w:rPr>
      </w:pPr>
      <w:r w:rsidRPr="33BB72CD" w:rsidR="5287E7FD">
        <w:rPr>
          <w:rFonts w:ascii="Times New Roman" w:hAnsi="Times New Roman" w:eastAsia="Times New Roman" w:cs="Times New Roman"/>
          <w:b w:val="0"/>
          <w:bCs w:val="0"/>
          <w:i w:val="0"/>
          <w:iCs w:val="0"/>
          <w:caps w:val="0"/>
          <w:smallCaps w:val="0"/>
          <w:noProof w:val="0"/>
          <w:color w:val="222222"/>
          <w:sz w:val="24"/>
          <w:szCs w:val="24"/>
          <w:lang w:val="en-US"/>
        </w:rPr>
        <w:t xml:space="preserve">Delpit, L. D. (2013). The politics of teaching literate discourse. In </w:t>
      </w:r>
      <w:r w:rsidRPr="33BB72CD" w:rsidR="5287E7FD">
        <w:rPr>
          <w:rFonts w:ascii="Times New Roman" w:hAnsi="Times New Roman" w:eastAsia="Times New Roman" w:cs="Times New Roman"/>
          <w:b w:val="0"/>
          <w:bCs w:val="0"/>
          <w:i w:val="1"/>
          <w:iCs w:val="1"/>
          <w:caps w:val="0"/>
          <w:smallCaps w:val="0"/>
          <w:noProof w:val="0"/>
          <w:color w:val="222222"/>
          <w:sz w:val="24"/>
          <w:szCs w:val="24"/>
          <w:lang w:val="en-US"/>
        </w:rPr>
        <w:t>Freedom's plow</w:t>
      </w:r>
      <w:r w:rsidRPr="33BB72CD" w:rsidR="5287E7FD">
        <w:rPr>
          <w:rFonts w:ascii="Times New Roman" w:hAnsi="Times New Roman" w:eastAsia="Times New Roman" w:cs="Times New Roman"/>
          <w:b w:val="0"/>
          <w:bCs w:val="0"/>
          <w:i w:val="0"/>
          <w:iCs w:val="0"/>
          <w:caps w:val="0"/>
          <w:smallCaps w:val="0"/>
          <w:noProof w:val="0"/>
          <w:color w:val="222222"/>
          <w:sz w:val="24"/>
          <w:szCs w:val="24"/>
          <w:lang w:val="en-US"/>
        </w:rPr>
        <w:t xml:space="preserve"> (pp. 285-</w:t>
      </w:r>
    </w:p>
    <w:p w:rsidR="5287E7FD" w:rsidP="33BB72CD" w:rsidRDefault="5287E7FD" w14:paraId="6523FFE3" w14:textId="156AB5A8">
      <w:pPr>
        <w:pStyle w:val="Normal"/>
        <w:spacing w:line="480" w:lineRule="auto"/>
        <w:ind w:firstLine="720"/>
        <w:rPr>
          <w:rFonts w:ascii="Times New Roman" w:hAnsi="Times New Roman" w:eastAsia="Times New Roman" w:cs="Times New Roman"/>
          <w:b w:val="0"/>
          <w:bCs w:val="0"/>
          <w:i w:val="0"/>
          <w:iCs w:val="0"/>
          <w:caps w:val="0"/>
          <w:smallCaps w:val="0"/>
          <w:noProof w:val="0"/>
          <w:color w:val="222222"/>
          <w:sz w:val="24"/>
          <w:szCs w:val="24"/>
          <w:lang w:val="en-US"/>
        </w:rPr>
      </w:pPr>
      <w:r w:rsidRPr="33BB72CD" w:rsidR="5287E7FD">
        <w:rPr>
          <w:rFonts w:ascii="Times New Roman" w:hAnsi="Times New Roman" w:eastAsia="Times New Roman" w:cs="Times New Roman"/>
          <w:b w:val="0"/>
          <w:bCs w:val="0"/>
          <w:i w:val="0"/>
          <w:iCs w:val="0"/>
          <w:caps w:val="0"/>
          <w:smallCaps w:val="0"/>
          <w:noProof w:val="0"/>
          <w:color w:val="222222"/>
          <w:sz w:val="24"/>
          <w:szCs w:val="24"/>
          <w:lang w:val="en-US"/>
        </w:rPr>
        <w:t>295). Routledge.</w:t>
      </w:r>
    </w:p>
    <w:p w:rsidR="7CF8DD6E" w:rsidP="19947A6B" w:rsidRDefault="0AF71A79" w14:paraId="286A3FF6" w14:textId="5A84B8EC">
      <w:pPr>
        <w:spacing w:line="480" w:lineRule="auto"/>
        <w:rPr>
          <w:color w:val="222222"/>
        </w:rPr>
      </w:pPr>
      <w:r w:rsidRPr="19947A6B">
        <w:rPr>
          <w:color w:val="222222"/>
        </w:rPr>
        <w:t xml:space="preserve">Dosreis, S., Mychailyszyn, M. P., Myers, M., &amp; Riley, A. W. (2007). Coming to terms with </w:t>
      </w:r>
    </w:p>
    <w:p w:rsidR="7CF8DD6E" w:rsidP="19947A6B" w:rsidRDefault="0AF71A79" w14:paraId="08FFDA67" w14:textId="6133A253">
      <w:pPr>
        <w:spacing w:line="480" w:lineRule="auto"/>
        <w:ind w:firstLine="720"/>
        <w:rPr>
          <w:color w:val="222222"/>
        </w:rPr>
      </w:pPr>
      <w:r w:rsidRPr="19947A6B">
        <w:rPr>
          <w:color w:val="222222"/>
        </w:rPr>
        <w:t xml:space="preserve">ADHD: How urban </w:t>
      </w:r>
      <w:bookmarkStart w:name="_Int_sZT6T8yx" w:id="43"/>
      <w:r w:rsidRPr="19947A6B">
        <w:rPr>
          <w:color w:val="222222"/>
        </w:rPr>
        <w:t>African-American</w:t>
      </w:r>
      <w:bookmarkEnd w:id="43"/>
      <w:r w:rsidRPr="19947A6B">
        <w:rPr>
          <w:color w:val="222222"/>
        </w:rPr>
        <w:t xml:space="preserve"> families come to seek care for their children.</w:t>
      </w:r>
    </w:p>
    <w:p w:rsidR="7CF8DD6E" w:rsidP="19947A6B" w:rsidRDefault="0AF71A79" w14:paraId="5E477549" w14:textId="74999B71">
      <w:pPr>
        <w:spacing w:line="480" w:lineRule="auto"/>
        <w:ind w:left="720"/>
        <w:rPr>
          <w:color w:val="222222"/>
        </w:rPr>
      </w:pPr>
      <w:r w:rsidRPr="19947A6B">
        <w:rPr>
          <w:i/>
          <w:iCs/>
          <w:color w:val="222222"/>
        </w:rPr>
        <w:t>Psychiatric services</w:t>
      </w:r>
      <w:r w:rsidRPr="19947A6B">
        <w:rPr>
          <w:color w:val="222222"/>
        </w:rPr>
        <w:t xml:space="preserve">, </w:t>
      </w:r>
      <w:r w:rsidRPr="19947A6B">
        <w:rPr>
          <w:i/>
          <w:iCs/>
          <w:color w:val="222222"/>
        </w:rPr>
        <w:t>58</w:t>
      </w:r>
      <w:r w:rsidRPr="19947A6B">
        <w:rPr>
          <w:color w:val="222222"/>
        </w:rPr>
        <w:t>(5), 636-641.</w:t>
      </w:r>
    </w:p>
    <w:p w:rsidR="7C3B843E" w:rsidP="19947A6B" w:rsidRDefault="25636846" w14:paraId="0295E21E" w14:textId="7C9D8E5D">
      <w:pPr>
        <w:spacing w:line="480" w:lineRule="auto"/>
        <w:rPr>
          <w:color w:val="222222"/>
        </w:rPr>
      </w:pPr>
      <w:r w:rsidRPr="19947A6B">
        <w:rPr>
          <w:color w:val="222222"/>
        </w:rPr>
        <w:t xml:space="preserve">Epstein, J. N., Willoughby, M., Valencia, E. Y., Tonev, S. T., Abikoff, H. B., Arnold, L. E., &amp; </w:t>
      </w:r>
    </w:p>
    <w:p w:rsidR="7C3B843E" w:rsidP="19947A6B" w:rsidRDefault="25636846" w14:paraId="3A3127E8" w14:textId="4AEEBFF5">
      <w:pPr>
        <w:spacing w:line="480" w:lineRule="auto"/>
        <w:ind w:firstLine="720"/>
        <w:rPr>
          <w:color w:val="222222"/>
        </w:rPr>
      </w:pPr>
      <w:r w:rsidRPr="33BB72CD" w:rsidR="25636846">
        <w:rPr>
          <w:color w:val="222222"/>
        </w:rPr>
        <w:t xml:space="preserve">Hinshaw, S. P. (2005). The role of children's ethnicity in the relationship between </w:t>
      </w:r>
      <w:r>
        <w:tab/>
      </w:r>
      <w:r>
        <w:tab/>
      </w:r>
      <w:r w:rsidRPr="33BB72CD" w:rsidR="25636846">
        <w:rPr>
          <w:color w:val="222222"/>
        </w:rPr>
        <w:t>teacher</w:t>
      </w:r>
      <w:r w:rsidRPr="33BB72CD" w:rsidR="53EBB1F6">
        <w:rPr>
          <w:color w:val="222222"/>
        </w:rPr>
        <w:t xml:space="preserve"> </w:t>
      </w:r>
      <w:r w:rsidRPr="33BB72CD" w:rsidR="25636846">
        <w:rPr>
          <w:color w:val="222222"/>
        </w:rPr>
        <w:t xml:space="preserve">ratings of attention-deficit/hyperactivity disorder and </w:t>
      </w:r>
      <w:r w:rsidRPr="33BB72CD" w:rsidR="25636846">
        <w:rPr>
          <w:color w:val="222222"/>
        </w:rPr>
        <w:t>observed</w:t>
      </w:r>
      <w:r w:rsidRPr="33BB72CD" w:rsidR="25636846">
        <w:rPr>
          <w:color w:val="222222"/>
        </w:rPr>
        <w:t xml:space="preserve"> classroom </w:t>
      </w:r>
      <w:r>
        <w:tab/>
      </w:r>
      <w:r>
        <w:tab/>
      </w:r>
      <w:r>
        <w:tab/>
      </w:r>
      <w:r w:rsidRPr="33BB72CD" w:rsidR="25636846">
        <w:rPr>
          <w:color w:val="222222"/>
        </w:rPr>
        <w:t>b</w:t>
      </w:r>
      <w:r w:rsidRPr="33BB72CD" w:rsidR="25636846">
        <w:rPr>
          <w:color w:val="222222"/>
        </w:rPr>
        <w:t xml:space="preserve">ehavior. </w:t>
      </w:r>
      <w:r w:rsidRPr="33BB72CD" w:rsidR="25636846">
        <w:rPr>
          <w:i w:val="1"/>
          <w:iCs w:val="1"/>
          <w:color w:val="222222"/>
        </w:rPr>
        <w:t>Journal of Consulting and Clinical Psychology</w:t>
      </w:r>
      <w:r w:rsidRPr="33BB72CD" w:rsidR="25636846">
        <w:rPr>
          <w:color w:val="222222"/>
        </w:rPr>
        <w:t xml:space="preserve">, </w:t>
      </w:r>
      <w:r w:rsidRPr="33BB72CD" w:rsidR="25636846">
        <w:rPr>
          <w:i w:val="1"/>
          <w:iCs w:val="1"/>
          <w:color w:val="222222"/>
        </w:rPr>
        <w:t>73</w:t>
      </w:r>
      <w:r w:rsidRPr="33BB72CD" w:rsidR="25636846">
        <w:rPr>
          <w:color w:val="222222"/>
        </w:rPr>
        <w:t>(3), 424.</w:t>
      </w:r>
    </w:p>
    <w:p w:rsidR="7D54B349" w:rsidP="19947A6B" w:rsidRDefault="2514CB5E" w14:paraId="19D37D41" w14:textId="17B1F2E3">
      <w:pPr>
        <w:pStyle w:val="NormalWeb"/>
        <w:spacing w:line="480" w:lineRule="auto"/>
      </w:pPr>
      <w:r w:rsidRPr="19947A6B">
        <w:t xml:space="preserve">Hammond, Z. (2015). </w:t>
      </w:r>
      <w:r w:rsidRPr="19947A6B">
        <w:rPr>
          <w:i/>
          <w:iCs/>
        </w:rPr>
        <w:t xml:space="preserve">Culturally responsive teaching and the brain: Promoting authentic </w:t>
      </w:r>
      <w:r w:rsidR="7D54B349">
        <w:tab/>
      </w:r>
      <w:r w:rsidR="7D54B349">
        <w:tab/>
      </w:r>
      <w:r w:rsidRPr="19947A6B">
        <w:rPr>
          <w:i/>
          <w:iCs/>
        </w:rPr>
        <w:t>engagement and rigor among culturally and linguistically diverse students</w:t>
      </w:r>
      <w:r w:rsidRPr="19947A6B">
        <w:t>. Corwin.</w:t>
      </w:r>
    </w:p>
    <w:p w:rsidR="0FB20858" w:rsidP="19947A6B" w:rsidRDefault="4051BDE4" w14:paraId="70EC65E2" w14:textId="00473617">
      <w:pPr>
        <w:spacing w:line="480" w:lineRule="auto"/>
        <w:rPr>
          <w:color w:val="222222"/>
        </w:rPr>
      </w:pPr>
      <w:r w:rsidRPr="19947A6B">
        <w:rPr>
          <w:color w:val="222222"/>
        </w:rPr>
        <w:t xml:space="preserve">Kang, S., &amp; Harvey, E. A. (2020). Racial differences between Black parents’ and White </w:t>
      </w:r>
    </w:p>
    <w:p w:rsidR="0FB20858" w:rsidP="19947A6B" w:rsidRDefault="4051BDE4" w14:paraId="5F8D8159" w14:textId="7D5B77DC">
      <w:pPr>
        <w:spacing w:line="480" w:lineRule="auto"/>
        <w:ind w:firstLine="720"/>
        <w:rPr>
          <w:color w:val="222222"/>
        </w:rPr>
      </w:pPr>
      <w:r w:rsidRPr="19947A6B">
        <w:rPr>
          <w:color w:val="222222"/>
        </w:rPr>
        <w:t xml:space="preserve">teachers’ perceptions of attention-deficit/hyperactivity disorder behavior. </w:t>
      </w:r>
      <w:r w:rsidRPr="19947A6B">
        <w:rPr>
          <w:i/>
          <w:iCs/>
          <w:color w:val="222222"/>
        </w:rPr>
        <w:t xml:space="preserve">Journal of </w:t>
      </w:r>
    </w:p>
    <w:p w:rsidR="0FB20858" w:rsidP="19947A6B" w:rsidRDefault="4051BDE4" w14:paraId="5295DF51" w14:textId="4CAE51A4">
      <w:pPr>
        <w:spacing w:line="480" w:lineRule="auto"/>
        <w:ind w:firstLine="720"/>
        <w:rPr>
          <w:color w:val="222222"/>
        </w:rPr>
      </w:pPr>
      <w:r w:rsidRPr="19947A6B">
        <w:rPr>
          <w:i/>
          <w:iCs/>
          <w:color w:val="222222"/>
        </w:rPr>
        <w:t>abnormal child psychology</w:t>
      </w:r>
      <w:r w:rsidRPr="19947A6B">
        <w:rPr>
          <w:color w:val="222222"/>
        </w:rPr>
        <w:t xml:space="preserve">, </w:t>
      </w:r>
      <w:r w:rsidRPr="19947A6B">
        <w:rPr>
          <w:i/>
          <w:iCs/>
          <w:color w:val="222222"/>
        </w:rPr>
        <w:t>48</w:t>
      </w:r>
      <w:r w:rsidRPr="19947A6B">
        <w:rPr>
          <w:color w:val="222222"/>
        </w:rPr>
        <w:t>, 661-672.</w:t>
      </w:r>
    </w:p>
    <w:p w:rsidR="4ED81906" w:rsidP="19947A6B" w:rsidRDefault="09183917" w14:paraId="3047AB7A" w14:textId="0F4DFC44">
      <w:pPr>
        <w:spacing w:line="480" w:lineRule="auto"/>
        <w:rPr>
          <w:color w:val="222222"/>
        </w:rPr>
      </w:pPr>
      <w:r w:rsidRPr="19947A6B">
        <w:rPr>
          <w:color w:val="222222"/>
        </w:rPr>
        <w:t xml:space="preserve">Milner IV, H. R. (2008). Critical race theory and interest convergence as analytic tools in teacher </w:t>
      </w:r>
      <w:r w:rsidR="4ED81906">
        <w:tab/>
      </w:r>
      <w:r w:rsidRPr="19947A6B">
        <w:rPr>
          <w:color w:val="222222"/>
        </w:rPr>
        <w:t xml:space="preserve">education policies and practices. </w:t>
      </w:r>
      <w:r w:rsidRPr="19947A6B">
        <w:rPr>
          <w:i/>
          <w:iCs/>
          <w:color w:val="222222"/>
        </w:rPr>
        <w:t>Journal of teacher education, 59</w:t>
      </w:r>
      <w:r w:rsidRPr="19947A6B">
        <w:rPr>
          <w:color w:val="222222"/>
        </w:rPr>
        <w:t>(4), 332-346.</w:t>
      </w:r>
    </w:p>
    <w:p w:rsidR="49704197" w:rsidP="19947A6B" w:rsidRDefault="05BCA00C" w14:paraId="1448E2E6" w14:textId="116B5D91">
      <w:pPr>
        <w:spacing w:line="480" w:lineRule="auto"/>
        <w:rPr>
          <w:color w:val="222222"/>
        </w:rPr>
      </w:pPr>
      <w:r w:rsidRPr="19947A6B">
        <w:rPr>
          <w:color w:val="222222"/>
        </w:rPr>
        <w:t xml:space="preserve">Siwatu, K. O., Putman, S. M., Starker-Glass, T. V., &amp; Lewis, C. W. (2017). The culturally </w:t>
      </w:r>
    </w:p>
    <w:p w:rsidR="49704197" w:rsidP="19947A6B" w:rsidRDefault="05BCA00C" w14:paraId="3F26E60A" w14:textId="0267D70C">
      <w:pPr>
        <w:spacing w:line="480" w:lineRule="auto"/>
        <w:ind w:firstLine="720"/>
        <w:rPr>
          <w:color w:val="222222"/>
        </w:rPr>
      </w:pPr>
      <w:r w:rsidRPr="19947A6B">
        <w:rPr>
          <w:color w:val="222222"/>
        </w:rPr>
        <w:t xml:space="preserve">responsive classroom management self-efficacy scale: Development and initial </w:t>
      </w:r>
    </w:p>
    <w:p w:rsidR="49704197" w:rsidP="19947A6B" w:rsidRDefault="05BCA00C" w14:paraId="0F2CE514" w14:textId="78F78AF0">
      <w:pPr>
        <w:spacing w:line="480" w:lineRule="auto"/>
        <w:ind w:left="720"/>
        <w:rPr>
          <w:color w:val="222222"/>
        </w:rPr>
      </w:pPr>
      <w:r w:rsidRPr="33BB72CD" w:rsidR="05BCA00C">
        <w:rPr>
          <w:color w:val="222222"/>
        </w:rPr>
        <w:t xml:space="preserve">validation. </w:t>
      </w:r>
      <w:r w:rsidRPr="33BB72CD" w:rsidR="05BCA00C">
        <w:rPr>
          <w:i w:val="1"/>
          <w:iCs w:val="1"/>
          <w:color w:val="222222"/>
        </w:rPr>
        <w:t xml:space="preserve">Urban </w:t>
      </w:r>
      <w:r w:rsidRPr="33BB72CD" w:rsidR="192123E0">
        <w:rPr>
          <w:i w:val="1"/>
          <w:iCs w:val="1"/>
          <w:color w:val="222222"/>
        </w:rPr>
        <w:t>e</w:t>
      </w:r>
      <w:r w:rsidRPr="33BB72CD" w:rsidR="05BCA00C">
        <w:rPr>
          <w:i w:val="1"/>
          <w:iCs w:val="1"/>
          <w:color w:val="222222"/>
        </w:rPr>
        <w:t>ducation</w:t>
      </w:r>
      <w:r w:rsidRPr="33BB72CD" w:rsidR="05BCA00C">
        <w:rPr>
          <w:color w:val="222222"/>
        </w:rPr>
        <w:t xml:space="preserve">, </w:t>
      </w:r>
      <w:r w:rsidRPr="33BB72CD" w:rsidR="05BCA00C">
        <w:rPr>
          <w:i w:val="1"/>
          <w:iCs w:val="1"/>
          <w:color w:val="222222"/>
        </w:rPr>
        <w:t>52</w:t>
      </w:r>
      <w:r w:rsidRPr="33BB72CD" w:rsidR="05BCA00C">
        <w:rPr>
          <w:color w:val="222222"/>
        </w:rPr>
        <w:t>(7), 862-888.</w:t>
      </w:r>
    </w:p>
    <w:p w:rsidR="55399DE6" w:rsidP="19947A6B" w:rsidRDefault="643C69C7" w14:paraId="12F59EF6" w14:textId="034C641C">
      <w:pPr>
        <w:spacing w:line="480" w:lineRule="auto"/>
        <w:rPr>
          <w:color w:val="222222"/>
        </w:rPr>
      </w:pPr>
      <w:r w:rsidRPr="19947A6B">
        <w:rPr>
          <w:color w:val="222222"/>
        </w:rPr>
        <w:t xml:space="preserve">Weinstein, C. S., Tomlinson-Clarke, S., &amp; Curran, M. (2004). Toward a conception of culturally </w:t>
      </w:r>
      <w:r w:rsidR="55399DE6">
        <w:tab/>
      </w:r>
      <w:r w:rsidRPr="19947A6B">
        <w:rPr>
          <w:color w:val="222222"/>
        </w:rPr>
        <w:t xml:space="preserve">responsive classroom management. </w:t>
      </w:r>
      <w:r w:rsidRPr="19947A6B">
        <w:rPr>
          <w:i/>
          <w:iCs/>
          <w:color w:val="222222"/>
        </w:rPr>
        <w:t>Journal of teacher education</w:t>
      </w:r>
      <w:r w:rsidRPr="19947A6B">
        <w:rPr>
          <w:color w:val="222222"/>
        </w:rPr>
        <w:t xml:space="preserve">, </w:t>
      </w:r>
      <w:r w:rsidRPr="19947A6B">
        <w:rPr>
          <w:i/>
          <w:iCs/>
          <w:color w:val="222222"/>
        </w:rPr>
        <w:t>55</w:t>
      </w:r>
      <w:r w:rsidRPr="19947A6B">
        <w:rPr>
          <w:color w:val="222222"/>
        </w:rPr>
        <w:t>(1), 25-38.</w:t>
      </w:r>
    </w:p>
    <w:p w:rsidR="548C78CC" w:rsidP="19947A6B" w:rsidRDefault="548C78CC" w14:paraId="35ECCAE8" w14:textId="5BD572B6">
      <w:pPr>
        <w:spacing w:line="480" w:lineRule="auto"/>
        <w:rPr>
          <w:b/>
          <w:bCs/>
        </w:rPr>
      </w:pPr>
    </w:p>
    <w:sectPr w:rsidR="548C78CC">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DFjzamwAmuBDc" int2:id="qTK5YrMb">
      <int2:state int2:value="Rejected" int2:type="AugLoop_Text_Critique"/>
    </int2:textHash>
    <int2:textHash int2:hashCode="bxBy3dpPkaTE4/" int2:id="FClZ0C9Q">
      <int2:state int2:value="Rejected" int2:type="AugLoop_Text_Critique"/>
    </int2:textHash>
    <int2:bookmark int2:bookmarkName="_Int_v70ZvO5d" int2:invalidationBookmarkName="" int2:hashCode="z5oykSKBCUTbOu" int2:id="88Z1Jp2g">
      <int2:state int2:value="Rejected" int2:type="AugLoop_Text_Critique"/>
    </int2:bookmark>
    <int2:bookmark int2:bookmarkName="_Int_aGzLCtJL" int2:invalidationBookmarkName="" int2:hashCode="CKCbnYihQRlN+U" int2:id="s2JGZvae">
      <int2:state int2:value="Rejected" int2:type="AugLoop_Text_Critique"/>
    </int2:bookmark>
    <int2:bookmark int2:bookmarkName="_Int_sZT6T8yx" int2:invalidationBookmarkName="" int2:hashCode="SdQjZTYGhivFPI" int2:id="5oYvijd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6A1"/>
    <w:multiLevelType w:val="multilevel"/>
    <w:tmpl w:val="AAAAC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47EE2872"/>
    <w:multiLevelType w:val="hybridMultilevel"/>
    <w:tmpl w:val="CC3CCD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2735EDA"/>
    <w:multiLevelType w:val="hybridMultilevel"/>
    <w:tmpl w:val="E9F8821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307395055">
    <w:abstractNumId w:val="1"/>
  </w:num>
  <w:num w:numId="2" w16cid:durableId="1437558943">
    <w:abstractNumId w:val="0"/>
  </w:num>
  <w:num w:numId="3" w16cid:durableId="189696988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37C"/>
    <w:rsid w:val="000E431C"/>
    <w:rsid w:val="001538F0"/>
    <w:rsid w:val="001A1361"/>
    <w:rsid w:val="001A144C"/>
    <w:rsid w:val="001E2EE7"/>
    <w:rsid w:val="00265EED"/>
    <w:rsid w:val="002B7BAD"/>
    <w:rsid w:val="002F301E"/>
    <w:rsid w:val="0030137C"/>
    <w:rsid w:val="003359AC"/>
    <w:rsid w:val="003563B5"/>
    <w:rsid w:val="0048145F"/>
    <w:rsid w:val="0048363D"/>
    <w:rsid w:val="004A00EE"/>
    <w:rsid w:val="004CFC5A"/>
    <w:rsid w:val="00534968"/>
    <w:rsid w:val="00579456"/>
    <w:rsid w:val="005C6132"/>
    <w:rsid w:val="006D2878"/>
    <w:rsid w:val="006E749B"/>
    <w:rsid w:val="007676C1"/>
    <w:rsid w:val="007926BD"/>
    <w:rsid w:val="007D055D"/>
    <w:rsid w:val="008921DA"/>
    <w:rsid w:val="008A1AB0"/>
    <w:rsid w:val="009D5D16"/>
    <w:rsid w:val="00A15555"/>
    <w:rsid w:val="00A37533"/>
    <w:rsid w:val="00A7A45A"/>
    <w:rsid w:val="00A92E0E"/>
    <w:rsid w:val="00B32D2C"/>
    <w:rsid w:val="00B43186"/>
    <w:rsid w:val="00B76E5B"/>
    <w:rsid w:val="00B7F8A6"/>
    <w:rsid w:val="00B97C5A"/>
    <w:rsid w:val="00C81ACA"/>
    <w:rsid w:val="00C96126"/>
    <w:rsid w:val="00C97C16"/>
    <w:rsid w:val="00CC4C56"/>
    <w:rsid w:val="00CD646D"/>
    <w:rsid w:val="00D37941"/>
    <w:rsid w:val="00D63AE7"/>
    <w:rsid w:val="00D66C2E"/>
    <w:rsid w:val="00E547D6"/>
    <w:rsid w:val="00F54FDC"/>
    <w:rsid w:val="00F8E3D6"/>
    <w:rsid w:val="0122BA46"/>
    <w:rsid w:val="0174ECE9"/>
    <w:rsid w:val="01A7F160"/>
    <w:rsid w:val="01CC5CB1"/>
    <w:rsid w:val="026A81D1"/>
    <w:rsid w:val="0277ADB2"/>
    <w:rsid w:val="0294B437"/>
    <w:rsid w:val="02A5DD38"/>
    <w:rsid w:val="02F7E2C2"/>
    <w:rsid w:val="0310BD4A"/>
    <w:rsid w:val="0322ADFB"/>
    <w:rsid w:val="03256B43"/>
    <w:rsid w:val="0338D246"/>
    <w:rsid w:val="036A65B6"/>
    <w:rsid w:val="039F3DB4"/>
    <w:rsid w:val="03C1BB72"/>
    <w:rsid w:val="03E36A5A"/>
    <w:rsid w:val="0408E5FA"/>
    <w:rsid w:val="04869FB0"/>
    <w:rsid w:val="04A773ED"/>
    <w:rsid w:val="04AC8DAB"/>
    <w:rsid w:val="04AD160C"/>
    <w:rsid w:val="0527DDF8"/>
    <w:rsid w:val="053C26DF"/>
    <w:rsid w:val="055D8BD3"/>
    <w:rsid w:val="05A6708C"/>
    <w:rsid w:val="05BCA00C"/>
    <w:rsid w:val="061C6F51"/>
    <w:rsid w:val="069462A7"/>
    <w:rsid w:val="06B13C12"/>
    <w:rsid w:val="06C3AE59"/>
    <w:rsid w:val="06DA6534"/>
    <w:rsid w:val="082D6721"/>
    <w:rsid w:val="089B3C0C"/>
    <w:rsid w:val="09105BEE"/>
    <w:rsid w:val="09167A88"/>
    <w:rsid w:val="09183917"/>
    <w:rsid w:val="09197BCE"/>
    <w:rsid w:val="0946E3C0"/>
    <w:rsid w:val="09CC0369"/>
    <w:rsid w:val="0A1FF514"/>
    <w:rsid w:val="0AF71A79"/>
    <w:rsid w:val="0B67D3CA"/>
    <w:rsid w:val="0B9790E7"/>
    <w:rsid w:val="0C208CA4"/>
    <w:rsid w:val="0C3BE95A"/>
    <w:rsid w:val="0CCD716A"/>
    <w:rsid w:val="0D03A42B"/>
    <w:rsid w:val="0D7F73C8"/>
    <w:rsid w:val="0DC9B07A"/>
    <w:rsid w:val="0E4D7BCE"/>
    <w:rsid w:val="0ECC57EC"/>
    <w:rsid w:val="0ECEC03E"/>
    <w:rsid w:val="0EFEC311"/>
    <w:rsid w:val="0F1417A7"/>
    <w:rsid w:val="0F1B4429"/>
    <w:rsid w:val="0FB20858"/>
    <w:rsid w:val="0FCC7796"/>
    <w:rsid w:val="1029729E"/>
    <w:rsid w:val="106A909F"/>
    <w:rsid w:val="10886FCE"/>
    <w:rsid w:val="10E06621"/>
    <w:rsid w:val="11067014"/>
    <w:rsid w:val="11A70997"/>
    <w:rsid w:val="11AEA0BB"/>
    <w:rsid w:val="12085646"/>
    <w:rsid w:val="1270C132"/>
    <w:rsid w:val="129F77C9"/>
    <w:rsid w:val="12E3E263"/>
    <w:rsid w:val="132177D6"/>
    <w:rsid w:val="1350F7C9"/>
    <w:rsid w:val="135AB301"/>
    <w:rsid w:val="13848409"/>
    <w:rsid w:val="139770DE"/>
    <w:rsid w:val="13A426A7"/>
    <w:rsid w:val="13A89479"/>
    <w:rsid w:val="13B8B9BA"/>
    <w:rsid w:val="13BCBC51"/>
    <w:rsid w:val="13C09372"/>
    <w:rsid w:val="14220DC4"/>
    <w:rsid w:val="14BC2717"/>
    <w:rsid w:val="14BD8C9B"/>
    <w:rsid w:val="14C9D647"/>
    <w:rsid w:val="14F7CCD3"/>
    <w:rsid w:val="1513D576"/>
    <w:rsid w:val="15422A27"/>
    <w:rsid w:val="15432F98"/>
    <w:rsid w:val="15715D50"/>
    <w:rsid w:val="15D41686"/>
    <w:rsid w:val="16C4D22B"/>
    <w:rsid w:val="16DC146C"/>
    <w:rsid w:val="17176D84"/>
    <w:rsid w:val="17352087"/>
    <w:rsid w:val="1741BE5C"/>
    <w:rsid w:val="1781557F"/>
    <w:rsid w:val="181EA770"/>
    <w:rsid w:val="184E4458"/>
    <w:rsid w:val="18792A9C"/>
    <w:rsid w:val="192123E0"/>
    <w:rsid w:val="19795C5D"/>
    <w:rsid w:val="19947A6B"/>
    <w:rsid w:val="199A1439"/>
    <w:rsid w:val="19A4165C"/>
    <w:rsid w:val="19BA77D1"/>
    <w:rsid w:val="1A5DF6D0"/>
    <w:rsid w:val="1A94A5E0"/>
    <w:rsid w:val="1A9E9384"/>
    <w:rsid w:val="1AB54E7B"/>
    <w:rsid w:val="1ADA663A"/>
    <w:rsid w:val="1B0DB9DB"/>
    <w:rsid w:val="1B2422FF"/>
    <w:rsid w:val="1BC87028"/>
    <w:rsid w:val="1BFFF49B"/>
    <w:rsid w:val="1C0891AA"/>
    <w:rsid w:val="1C2B7F78"/>
    <w:rsid w:val="1C7ED1E1"/>
    <w:rsid w:val="1CA98A3C"/>
    <w:rsid w:val="1CB82F6B"/>
    <w:rsid w:val="1CC2A438"/>
    <w:rsid w:val="1CCC1B2D"/>
    <w:rsid w:val="1D31FA1D"/>
    <w:rsid w:val="1DD7F338"/>
    <w:rsid w:val="1E03683A"/>
    <w:rsid w:val="1E06D775"/>
    <w:rsid w:val="1E0C90BA"/>
    <w:rsid w:val="1E1F9316"/>
    <w:rsid w:val="1E5E7499"/>
    <w:rsid w:val="1F34AE79"/>
    <w:rsid w:val="1F3616EB"/>
    <w:rsid w:val="1F58DC4A"/>
    <w:rsid w:val="1F94C564"/>
    <w:rsid w:val="1F9CED9A"/>
    <w:rsid w:val="1FE28644"/>
    <w:rsid w:val="203E1132"/>
    <w:rsid w:val="2074D056"/>
    <w:rsid w:val="20857099"/>
    <w:rsid w:val="20DFFEB2"/>
    <w:rsid w:val="20F4ACAB"/>
    <w:rsid w:val="20FBCFE8"/>
    <w:rsid w:val="21201AB3"/>
    <w:rsid w:val="215041E1"/>
    <w:rsid w:val="217E56A5"/>
    <w:rsid w:val="2190665D"/>
    <w:rsid w:val="21932F5F"/>
    <w:rsid w:val="21992759"/>
    <w:rsid w:val="219BB94E"/>
    <w:rsid w:val="21B2A9C3"/>
    <w:rsid w:val="21BFAE77"/>
    <w:rsid w:val="21EF7FD4"/>
    <w:rsid w:val="2242D461"/>
    <w:rsid w:val="224C653A"/>
    <w:rsid w:val="22AB645B"/>
    <w:rsid w:val="23255505"/>
    <w:rsid w:val="2339260F"/>
    <w:rsid w:val="23A57029"/>
    <w:rsid w:val="2440EF00"/>
    <w:rsid w:val="2514CB5E"/>
    <w:rsid w:val="25636846"/>
    <w:rsid w:val="257A7523"/>
    <w:rsid w:val="25D0C754"/>
    <w:rsid w:val="261F0055"/>
    <w:rsid w:val="27164584"/>
    <w:rsid w:val="275D5F77"/>
    <w:rsid w:val="2763EE2F"/>
    <w:rsid w:val="27932F4C"/>
    <w:rsid w:val="27BC94F4"/>
    <w:rsid w:val="27EFBB52"/>
    <w:rsid w:val="28260621"/>
    <w:rsid w:val="28E7974F"/>
    <w:rsid w:val="28FD3785"/>
    <w:rsid w:val="29375D0B"/>
    <w:rsid w:val="2948C973"/>
    <w:rsid w:val="2976677F"/>
    <w:rsid w:val="29828918"/>
    <w:rsid w:val="298FFACA"/>
    <w:rsid w:val="29A914C6"/>
    <w:rsid w:val="29D6C6D6"/>
    <w:rsid w:val="2A091EFF"/>
    <w:rsid w:val="2A09CF2B"/>
    <w:rsid w:val="2A2F8435"/>
    <w:rsid w:val="2A42F489"/>
    <w:rsid w:val="2A8110F7"/>
    <w:rsid w:val="2AB2393C"/>
    <w:rsid w:val="2B632801"/>
    <w:rsid w:val="2BA871D5"/>
    <w:rsid w:val="2C1CBD36"/>
    <w:rsid w:val="2C7D6098"/>
    <w:rsid w:val="2C7F2135"/>
    <w:rsid w:val="2CB19F80"/>
    <w:rsid w:val="2CB2FC84"/>
    <w:rsid w:val="2CCDBCC6"/>
    <w:rsid w:val="2D084750"/>
    <w:rsid w:val="2D40F989"/>
    <w:rsid w:val="2D4BC33C"/>
    <w:rsid w:val="2D686ED9"/>
    <w:rsid w:val="2D79118E"/>
    <w:rsid w:val="2DC2735B"/>
    <w:rsid w:val="2E37FA9D"/>
    <w:rsid w:val="2E698D27"/>
    <w:rsid w:val="2EBF0489"/>
    <w:rsid w:val="2F36E274"/>
    <w:rsid w:val="2F964907"/>
    <w:rsid w:val="2FAA6D5E"/>
    <w:rsid w:val="3060004F"/>
    <w:rsid w:val="306FFA27"/>
    <w:rsid w:val="308CAD1E"/>
    <w:rsid w:val="31008A27"/>
    <w:rsid w:val="3173680F"/>
    <w:rsid w:val="31E25711"/>
    <w:rsid w:val="32097814"/>
    <w:rsid w:val="322E1678"/>
    <w:rsid w:val="32499781"/>
    <w:rsid w:val="32586F93"/>
    <w:rsid w:val="329C5A88"/>
    <w:rsid w:val="32EBE373"/>
    <w:rsid w:val="3330D1B7"/>
    <w:rsid w:val="335AC763"/>
    <w:rsid w:val="33BB72CD"/>
    <w:rsid w:val="33E119AA"/>
    <w:rsid w:val="341FE16B"/>
    <w:rsid w:val="3444FE45"/>
    <w:rsid w:val="34521877"/>
    <w:rsid w:val="3482357C"/>
    <w:rsid w:val="3553CD4D"/>
    <w:rsid w:val="3569B47E"/>
    <w:rsid w:val="356B1A02"/>
    <w:rsid w:val="35BBB1CC"/>
    <w:rsid w:val="360D0295"/>
    <w:rsid w:val="361191F7"/>
    <w:rsid w:val="3621935C"/>
    <w:rsid w:val="368FFB7E"/>
    <w:rsid w:val="37428628"/>
    <w:rsid w:val="3757822D"/>
    <w:rsid w:val="37C71151"/>
    <w:rsid w:val="380A02EA"/>
    <w:rsid w:val="38152356"/>
    <w:rsid w:val="38182A1F"/>
    <w:rsid w:val="383FFE96"/>
    <w:rsid w:val="387473F3"/>
    <w:rsid w:val="3932D4C7"/>
    <w:rsid w:val="39917B33"/>
    <w:rsid w:val="3995C3F1"/>
    <w:rsid w:val="39A66E32"/>
    <w:rsid w:val="39AFE03C"/>
    <w:rsid w:val="39CEB147"/>
    <w:rsid w:val="39D62023"/>
    <w:rsid w:val="3A04735C"/>
    <w:rsid w:val="3A16F3C5"/>
    <w:rsid w:val="3A6DBD03"/>
    <w:rsid w:val="3AC29062"/>
    <w:rsid w:val="3AE50E49"/>
    <w:rsid w:val="3B204295"/>
    <w:rsid w:val="3B406A13"/>
    <w:rsid w:val="3B8C4D51"/>
    <w:rsid w:val="3BCBB9B2"/>
    <w:rsid w:val="3BF2681D"/>
    <w:rsid w:val="3C352E13"/>
    <w:rsid w:val="3CCCD340"/>
    <w:rsid w:val="3CF6221E"/>
    <w:rsid w:val="3D281DB2"/>
    <w:rsid w:val="3D333AE9"/>
    <w:rsid w:val="3D5709DE"/>
    <w:rsid w:val="3DB8EA3B"/>
    <w:rsid w:val="3DD69EE7"/>
    <w:rsid w:val="3E021B50"/>
    <w:rsid w:val="3E59D89D"/>
    <w:rsid w:val="3E91F27F"/>
    <w:rsid w:val="3ED8333F"/>
    <w:rsid w:val="3F035A74"/>
    <w:rsid w:val="3F6C5871"/>
    <w:rsid w:val="3FBCB98F"/>
    <w:rsid w:val="3FC45639"/>
    <w:rsid w:val="3FC84ECF"/>
    <w:rsid w:val="4051BDE4"/>
    <w:rsid w:val="406AB5A5"/>
    <w:rsid w:val="40C7EF76"/>
    <w:rsid w:val="40D49860"/>
    <w:rsid w:val="40DDA6C6"/>
    <w:rsid w:val="41249789"/>
    <w:rsid w:val="412AA0B7"/>
    <w:rsid w:val="413D75CD"/>
    <w:rsid w:val="41778E70"/>
    <w:rsid w:val="42BA6BD8"/>
    <w:rsid w:val="43440013"/>
    <w:rsid w:val="436E6FC4"/>
    <w:rsid w:val="437CBD1A"/>
    <w:rsid w:val="43A4ADAE"/>
    <w:rsid w:val="43C80265"/>
    <w:rsid w:val="44054C44"/>
    <w:rsid w:val="44C91A21"/>
    <w:rsid w:val="44E5B13D"/>
    <w:rsid w:val="4511A23C"/>
    <w:rsid w:val="456B0071"/>
    <w:rsid w:val="45C36BD1"/>
    <w:rsid w:val="4611BBA4"/>
    <w:rsid w:val="461E67F6"/>
    <w:rsid w:val="4658462A"/>
    <w:rsid w:val="4659D450"/>
    <w:rsid w:val="4677534E"/>
    <w:rsid w:val="46BE15DA"/>
    <w:rsid w:val="4706D0D2"/>
    <w:rsid w:val="473E1E8A"/>
    <w:rsid w:val="4778562E"/>
    <w:rsid w:val="480EAD8C"/>
    <w:rsid w:val="485A1401"/>
    <w:rsid w:val="489CEE42"/>
    <w:rsid w:val="489DFC36"/>
    <w:rsid w:val="48A7F7D3"/>
    <w:rsid w:val="48A99106"/>
    <w:rsid w:val="48F82853"/>
    <w:rsid w:val="495608B8"/>
    <w:rsid w:val="4957F2C7"/>
    <w:rsid w:val="496456C2"/>
    <w:rsid w:val="49704197"/>
    <w:rsid w:val="499C8B44"/>
    <w:rsid w:val="49C03445"/>
    <w:rsid w:val="49EB3989"/>
    <w:rsid w:val="49F08640"/>
    <w:rsid w:val="49F16461"/>
    <w:rsid w:val="4A6F3D33"/>
    <w:rsid w:val="4ACD1388"/>
    <w:rsid w:val="4AE500E5"/>
    <w:rsid w:val="4B1506A8"/>
    <w:rsid w:val="4B8A0F1E"/>
    <w:rsid w:val="4BAA5EA1"/>
    <w:rsid w:val="4BD48F04"/>
    <w:rsid w:val="4C0B08B5"/>
    <w:rsid w:val="4C32072B"/>
    <w:rsid w:val="4C3EB78C"/>
    <w:rsid w:val="4C59B6FA"/>
    <w:rsid w:val="4CE48EB3"/>
    <w:rsid w:val="4D12D037"/>
    <w:rsid w:val="4D611651"/>
    <w:rsid w:val="4D838419"/>
    <w:rsid w:val="4DCA190D"/>
    <w:rsid w:val="4DFF3A5E"/>
    <w:rsid w:val="4E575819"/>
    <w:rsid w:val="4ED81906"/>
    <w:rsid w:val="4EEE301F"/>
    <w:rsid w:val="4EF4ED29"/>
    <w:rsid w:val="4F1AB2AE"/>
    <w:rsid w:val="4F1DEA5D"/>
    <w:rsid w:val="4F44D8B2"/>
    <w:rsid w:val="4F836813"/>
    <w:rsid w:val="4F93052B"/>
    <w:rsid w:val="4FD8BB1C"/>
    <w:rsid w:val="4FE36FF4"/>
    <w:rsid w:val="4FF89CAB"/>
    <w:rsid w:val="4FFD76F1"/>
    <w:rsid w:val="503D3310"/>
    <w:rsid w:val="50577ECA"/>
    <w:rsid w:val="5074F4A8"/>
    <w:rsid w:val="51362007"/>
    <w:rsid w:val="5157A011"/>
    <w:rsid w:val="51CDBCE7"/>
    <w:rsid w:val="51D90371"/>
    <w:rsid w:val="523C560F"/>
    <w:rsid w:val="5246F54F"/>
    <w:rsid w:val="5250F9ED"/>
    <w:rsid w:val="5257FBD6"/>
    <w:rsid w:val="5287E7FD"/>
    <w:rsid w:val="528825D7"/>
    <w:rsid w:val="52984D1A"/>
    <w:rsid w:val="52D53F5D"/>
    <w:rsid w:val="52DA6160"/>
    <w:rsid w:val="530F9E99"/>
    <w:rsid w:val="538752C9"/>
    <w:rsid w:val="53E328CB"/>
    <w:rsid w:val="53EBB1F6"/>
    <w:rsid w:val="54562202"/>
    <w:rsid w:val="546DC0C9"/>
    <w:rsid w:val="548C78CC"/>
    <w:rsid w:val="54B4D20E"/>
    <w:rsid w:val="5509DD8D"/>
    <w:rsid w:val="5512FD76"/>
    <w:rsid w:val="551F4553"/>
    <w:rsid w:val="55304EEC"/>
    <w:rsid w:val="55399DE6"/>
    <w:rsid w:val="557EF92C"/>
    <w:rsid w:val="561D4D72"/>
    <w:rsid w:val="5624A72D"/>
    <w:rsid w:val="564331DF"/>
    <w:rsid w:val="568C1EF9"/>
    <w:rsid w:val="56DE2CDB"/>
    <w:rsid w:val="56ED1148"/>
    <w:rsid w:val="5783E6DB"/>
    <w:rsid w:val="5796B66D"/>
    <w:rsid w:val="57C76EE5"/>
    <w:rsid w:val="57DF0240"/>
    <w:rsid w:val="580FBD57"/>
    <w:rsid w:val="5879FD3C"/>
    <w:rsid w:val="5888E1A9"/>
    <w:rsid w:val="5893249E"/>
    <w:rsid w:val="5899E9AF"/>
    <w:rsid w:val="589E4A65"/>
    <w:rsid w:val="58B79051"/>
    <w:rsid w:val="58F654D7"/>
    <w:rsid w:val="59C63FAA"/>
    <w:rsid w:val="59E538B3"/>
    <w:rsid w:val="59F2B676"/>
    <w:rsid w:val="5A555539"/>
    <w:rsid w:val="5AB200C3"/>
    <w:rsid w:val="5ADDC19A"/>
    <w:rsid w:val="5AEAC961"/>
    <w:rsid w:val="5B8D478C"/>
    <w:rsid w:val="5BA44CA8"/>
    <w:rsid w:val="5BB7B642"/>
    <w:rsid w:val="5BE88FD5"/>
    <w:rsid w:val="5C6133E7"/>
    <w:rsid w:val="5CF581C4"/>
    <w:rsid w:val="5D236BB5"/>
    <w:rsid w:val="5D2BB7AB"/>
    <w:rsid w:val="5D3C85B1"/>
    <w:rsid w:val="5D40DA82"/>
    <w:rsid w:val="5D520C7E"/>
    <w:rsid w:val="5DE65057"/>
    <w:rsid w:val="5DF650AE"/>
    <w:rsid w:val="5E1A32B5"/>
    <w:rsid w:val="5F2CA840"/>
    <w:rsid w:val="5F328E51"/>
    <w:rsid w:val="5F45614C"/>
    <w:rsid w:val="5F750CE3"/>
    <w:rsid w:val="5FB8FFB9"/>
    <w:rsid w:val="5FFCEE26"/>
    <w:rsid w:val="60424C2F"/>
    <w:rsid w:val="605B0C77"/>
    <w:rsid w:val="60946505"/>
    <w:rsid w:val="60D337B6"/>
    <w:rsid w:val="6148FF3C"/>
    <w:rsid w:val="6151D377"/>
    <w:rsid w:val="61B73991"/>
    <w:rsid w:val="620B4A62"/>
    <w:rsid w:val="6238BC49"/>
    <w:rsid w:val="62565712"/>
    <w:rsid w:val="62673850"/>
    <w:rsid w:val="6281664B"/>
    <w:rsid w:val="6284C7E4"/>
    <w:rsid w:val="62AA410D"/>
    <w:rsid w:val="62C3FB3D"/>
    <w:rsid w:val="62C9C1D1"/>
    <w:rsid w:val="62E4F339"/>
    <w:rsid w:val="63213CAA"/>
    <w:rsid w:val="63379A43"/>
    <w:rsid w:val="63597FEA"/>
    <w:rsid w:val="63F18D7A"/>
    <w:rsid w:val="64342BEA"/>
    <w:rsid w:val="643A242A"/>
    <w:rsid w:val="643C69C7"/>
    <w:rsid w:val="64659232"/>
    <w:rsid w:val="650E3FFD"/>
    <w:rsid w:val="652E7D9A"/>
    <w:rsid w:val="656F3A07"/>
    <w:rsid w:val="6578FAD1"/>
    <w:rsid w:val="65CFFC4B"/>
    <w:rsid w:val="6671E29B"/>
    <w:rsid w:val="66FBA797"/>
    <w:rsid w:val="675D90C8"/>
    <w:rsid w:val="6762D5FB"/>
    <w:rsid w:val="676BCCAC"/>
    <w:rsid w:val="6771E502"/>
    <w:rsid w:val="6787836D"/>
    <w:rsid w:val="67AFF952"/>
    <w:rsid w:val="680F2348"/>
    <w:rsid w:val="684C555A"/>
    <w:rsid w:val="69079D0D"/>
    <w:rsid w:val="691A6915"/>
    <w:rsid w:val="69316686"/>
    <w:rsid w:val="694848AB"/>
    <w:rsid w:val="69E825BB"/>
    <w:rsid w:val="6A17CCCB"/>
    <w:rsid w:val="6A5ED4F1"/>
    <w:rsid w:val="6A903D51"/>
    <w:rsid w:val="6AEEC561"/>
    <w:rsid w:val="6B429DE1"/>
    <w:rsid w:val="6B58AEEA"/>
    <w:rsid w:val="6B5C264B"/>
    <w:rsid w:val="6B928E4C"/>
    <w:rsid w:val="6B9F1A64"/>
    <w:rsid w:val="6BB7F400"/>
    <w:rsid w:val="6BDE965A"/>
    <w:rsid w:val="6C242C64"/>
    <w:rsid w:val="6C2E2692"/>
    <w:rsid w:val="6C3F3DCF"/>
    <w:rsid w:val="6CAA9C0D"/>
    <w:rsid w:val="6CC1E42A"/>
    <w:rsid w:val="6CCC281A"/>
    <w:rsid w:val="6D2695B9"/>
    <w:rsid w:val="6D3AEAC5"/>
    <w:rsid w:val="6D3C0F82"/>
    <w:rsid w:val="6D99EF0A"/>
    <w:rsid w:val="6DE10670"/>
    <w:rsid w:val="6E24CE6F"/>
    <w:rsid w:val="6E38F848"/>
    <w:rsid w:val="6E5E1932"/>
    <w:rsid w:val="6E9C1457"/>
    <w:rsid w:val="6ECAF08A"/>
    <w:rsid w:val="6EE30867"/>
    <w:rsid w:val="6EF4818C"/>
    <w:rsid w:val="6F10E661"/>
    <w:rsid w:val="6FAF2F1B"/>
    <w:rsid w:val="70581F56"/>
    <w:rsid w:val="70C76D9A"/>
    <w:rsid w:val="70D18FCC"/>
    <w:rsid w:val="70FF7ED5"/>
    <w:rsid w:val="7123BF9F"/>
    <w:rsid w:val="713B132C"/>
    <w:rsid w:val="716CF203"/>
    <w:rsid w:val="719A49E8"/>
    <w:rsid w:val="72074343"/>
    <w:rsid w:val="7210ADF6"/>
    <w:rsid w:val="72633DFB"/>
    <w:rsid w:val="726FEA4D"/>
    <w:rsid w:val="72B9B147"/>
    <w:rsid w:val="72E9E376"/>
    <w:rsid w:val="73566A29"/>
    <w:rsid w:val="743B47FC"/>
    <w:rsid w:val="748BEC85"/>
    <w:rsid w:val="74F8F7C6"/>
    <w:rsid w:val="75206A66"/>
    <w:rsid w:val="752CD44D"/>
    <w:rsid w:val="75D7185D"/>
    <w:rsid w:val="75E72B4D"/>
    <w:rsid w:val="767F09FC"/>
    <w:rsid w:val="76AD2AF9"/>
    <w:rsid w:val="77017947"/>
    <w:rsid w:val="77A97643"/>
    <w:rsid w:val="77D7C5A5"/>
    <w:rsid w:val="77FCEBCC"/>
    <w:rsid w:val="782BC44C"/>
    <w:rsid w:val="782E8DC5"/>
    <w:rsid w:val="7866E13A"/>
    <w:rsid w:val="78808FEC"/>
    <w:rsid w:val="790EB91F"/>
    <w:rsid w:val="791FAC64"/>
    <w:rsid w:val="7978892F"/>
    <w:rsid w:val="79D3CCC8"/>
    <w:rsid w:val="7A41DAC4"/>
    <w:rsid w:val="7A49F248"/>
    <w:rsid w:val="7A9BF008"/>
    <w:rsid w:val="7AA6611B"/>
    <w:rsid w:val="7AAA8980"/>
    <w:rsid w:val="7AE07043"/>
    <w:rsid w:val="7B214DE6"/>
    <w:rsid w:val="7B94DCF4"/>
    <w:rsid w:val="7BBBD06E"/>
    <w:rsid w:val="7BE15889"/>
    <w:rsid w:val="7C0D5207"/>
    <w:rsid w:val="7C17C824"/>
    <w:rsid w:val="7C18F6BD"/>
    <w:rsid w:val="7C3B843E"/>
    <w:rsid w:val="7CA62CC2"/>
    <w:rsid w:val="7CD9F801"/>
    <w:rsid w:val="7CEFF478"/>
    <w:rsid w:val="7CF8DD6E"/>
    <w:rsid w:val="7D0E8CB3"/>
    <w:rsid w:val="7D1FB2DF"/>
    <w:rsid w:val="7D4499AC"/>
    <w:rsid w:val="7D54B349"/>
    <w:rsid w:val="7D7DE3D8"/>
    <w:rsid w:val="7DA92268"/>
    <w:rsid w:val="7DC37BF3"/>
    <w:rsid w:val="7DE22A42"/>
    <w:rsid w:val="7E3D4C26"/>
    <w:rsid w:val="7E5EC5B5"/>
    <w:rsid w:val="7EA6F508"/>
    <w:rsid w:val="7F103D8D"/>
    <w:rsid w:val="7F32C0B3"/>
    <w:rsid w:val="7FDF38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E11B"/>
  <w15:docId w15:val="{23DC3A33-2395-4919-AD73-3D1B8A81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0267"/>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50267"/>
    <w:pPr>
      <w:ind w:left="720"/>
      <w:contextualSpacing/>
    </w:pPr>
  </w:style>
  <w:style w:type="character" w:styleId="Hyperlink">
    <w:name w:val="Hyperlink"/>
    <w:basedOn w:val="DefaultParagraphFont"/>
    <w:uiPriority w:val="99"/>
    <w:unhideWhenUsed/>
    <w:rsid w:val="00F9108C"/>
    <w:rPr>
      <w:color w:val="0563C1" w:themeColor="hyperlink"/>
      <w:u w:val="single"/>
    </w:rPr>
  </w:style>
  <w:style w:type="character" w:styleId="UnresolvedMention">
    <w:name w:val="Unresolved Mention"/>
    <w:basedOn w:val="DefaultParagraphFont"/>
    <w:uiPriority w:val="99"/>
    <w:semiHidden/>
    <w:unhideWhenUsed/>
    <w:rsid w:val="00F9108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5C6132"/>
    <w:pPr>
      <w:widowControl/>
    </w:pPr>
    <w:rPr>
      <w:color w:val="000000"/>
    </w:rPr>
  </w:style>
  <w:style w:type="character" w:styleId="CommentReference">
    <w:name w:val="annotation reference"/>
    <w:basedOn w:val="DefaultParagraphFont"/>
    <w:uiPriority w:val="99"/>
    <w:semiHidden/>
    <w:unhideWhenUsed/>
    <w:rsid w:val="005C6132"/>
    <w:rPr>
      <w:sz w:val="16"/>
      <w:szCs w:val="16"/>
    </w:rPr>
  </w:style>
  <w:style w:type="paragraph" w:styleId="CommentText">
    <w:name w:val="annotation text"/>
    <w:basedOn w:val="Normal"/>
    <w:link w:val="CommentTextChar"/>
    <w:uiPriority w:val="99"/>
    <w:unhideWhenUsed/>
    <w:rsid w:val="005C6132"/>
    <w:rPr>
      <w:sz w:val="20"/>
      <w:szCs w:val="20"/>
    </w:rPr>
  </w:style>
  <w:style w:type="character" w:styleId="CommentTextChar" w:customStyle="1">
    <w:name w:val="Comment Text Char"/>
    <w:basedOn w:val="DefaultParagraphFont"/>
    <w:link w:val="CommentText"/>
    <w:uiPriority w:val="99"/>
    <w:rsid w:val="005C6132"/>
    <w:rPr>
      <w:color w:val="000000"/>
      <w:sz w:val="20"/>
      <w:szCs w:val="20"/>
    </w:rPr>
  </w:style>
  <w:style w:type="paragraph" w:styleId="CommentSubject">
    <w:name w:val="annotation subject"/>
    <w:basedOn w:val="CommentText"/>
    <w:next w:val="CommentText"/>
    <w:link w:val="CommentSubjectChar"/>
    <w:uiPriority w:val="99"/>
    <w:semiHidden/>
    <w:unhideWhenUsed/>
    <w:rsid w:val="005C6132"/>
    <w:rPr>
      <w:b/>
      <w:bCs/>
    </w:rPr>
  </w:style>
  <w:style w:type="character" w:styleId="CommentSubjectChar" w:customStyle="1">
    <w:name w:val="Comment Subject Char"/>
    <w:basedOn w:val="CommentTextChar"/>
    <w:link w:val="CommentSubject"/>
    <w:uiPriority w:val="99"/>
    <w:semiHidden/>
    <w:rsid w:val="005C6132"/>
    <w:rPr>
      <w:b/>
      <w:bCs/>
      <w:color w:val="000000"/>
      <w:sz w:val="20"/>
      <w:szCs w:val="20"/>
    </w:rPr>
  </w:style>
  <w:style w:type="table" w:styleId="TableGrid">
    <w:name w:val="Table Grid"/>
    <w:basedOn w:val="TableNormal"/>
    <w:uiPriority w:val="39"/>
    <w:rsid w:val="007926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D37941"/>
    <w:rPr>
      <w:b/>
      <w:color w:val="000000"/>
      <w:sz w:val="28"/>
      <w:szCs w:val="28"/>
    </w:rPr>
  </w:style>
  <w:style w:type="character" w:styleId="Strong">
    <w:name w:val="Strong"/>
    <w:basedOn w:val="DefaultParagraphFont"/>
    <w:uiPriority w:val="22"/>
    <w:qFormat/>
    <w:rsid w:val="00D37941"/>
    <w:rPr>
      <w:b/>
      <w:bCs/>
    </w:rPr>
  </w:style>
  <w:style w:type="paragraph" w:styleId="NormalWeb">
    <w:name w:val="Normal (Web)"/>
    <w:basedOn w:val="Normal"/>
    <w:uiPriority w:val="99"/>
    <w:semiHidden/>
    <w:unhideWhenUsed/>
    <w:rsid w:val="00D37941"/>
    <w:pPr>
      <w:widowControl/>
      <w:spacing w:before="100" w:beforeAutospacing="1" w:after="100" w:afterAutospacing="1"/>
    </w:pPr>
    <w:rPr>
      <w:color w:val="auto"/>
    </w:rPr>
  </w:style>
  <w:style w:type="character" w:styleId="Emphasis">
    <w:name w:val="Emphasis"/>
    <w:basedOn w:val="DefaultParagraphFont"/>
    <w:uiPriority w:val="20"/>
    <w:qFormat/>
    <w:rsid w:val="00D37941"/>
    <w:rPr>
      <w:i/>
      <w:iCs/>
    </w:rPr>
  </w:style>
  <w:style w:type="character" w:styleId="FollowedHyperlink">
    <w:name w:val="FollowedHyperlink"/>
    <w:basedOn w:val="DefaultParagraphFont"/>
    <w:uiPriority w:val="99"/>
    <w:semiHidden/>
    <w:unhideWhenUsed/>
    <w:rsid w:val="00C81A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278">
      <w:bodyDiv w:val="1"/>
      <w:marLeft w:val="0"/>
      <w:marRight w:val="0"/>
      <w:marTop w:val="0"/>
      <w:marBottom w:val="0"/>
      <w:divBdr>
        <w:top w:val="none" w:sz="0" w:space="0" w:color="auto"/>
        <w:left w:val="none" w:sz="0" w:space="0" w:color="auto"/>
        <w:bottom w:val="none" w:sz="0" w:space="0" w:color="auto"/>
        <w:right w:val="none" w:sz="0" w:space="0" w:color="auto"/>
      </w:divBdr>
    </w:div>
    <w:div w:id="462231823">
      <w:bodyDiv w:val="1"/>
      <w:marLeft w:val="0"/>
      <w:marRight w:val="0"/>
      <w:marTop w:val="0"/>
      <w:marBottom w:val="0"/>
      <w:divBdr>
        <w:top w:val="none" w:sz="0" w:space="0" w:color="auto"/>
        <w:left w:val="none" w:sz="0" w:space="0" w:color="auto"/>
        <w:bottom w:val="none" w:sz="0" w:space="0" w:color="auto"/>
        <w:right w:val="none" w:sz="0" w:space="0" w:color="auto"/>
      </w:divBdr>
      <w:divsChild>
        <w:div w:id="1479541131">
          <w:marLeft w:val="0"/>
          <w:marRight w:val="0"/>
          <w:marTop w:val="0"/>
          <w:marBottom w:val="0"/>
          <w:divBdr>
            <w:top w:val="none" w:sz="0" w:space="0" w:color="auto"/>
            <w:left w:val="none" w:sz="0" w:space="0" w:color="auto"/>
            <w:bottom w:val="none" w:sz="0" w:space="0" w:color="auto"/>
            <w:right w:val="none" w:sz="0" w:space="0" w:color="auto"/>
          </w:divBdr>
        </w:div>
        <w:div w:id="980960563">
          <w:marLeft w:val="0"/>
          <w:marRight w:val="0"/>
          <w:marTop w:val="0"/>
          <w:marBottom w:val="0"/>
          <w:divBdr>
            <w:top w:val="none" w:sz="0" w:space="0" w:color="auto"/>
            <w:left w:val="none" w:sz="0" w:space="0" w:color="auto"/>
            <w:bottom w:val="none" w:sz="0" w:space="0" w:color="auto"/>
            <w:right w:val="none" w:sz="0" w:space="0" w:color="auto"/>
          </w:divBdr>
        </w:div>
        <w:div w:id="1341854436">
          <w:marLeft w:val="0"/>
          <w:marRight w:val="0"/>
          <w:marTop w:val="0"/>
          <w:marBottom w:val="0"/>
          <w:divBdr>
            <w:top w:val="none" w:sz="0" w:space="0" w:color="auto"/>
            <w:left w:val="none" w:sz="0" w:space="0" w:color="auto"/>
            <w:bottom w:val="none" w:sz="0" w:space="0" w:color="auto"/>
            <w:right w:val="none" w:sz="0" w:space="0" w:color="auto"/>
          </w:divBdr>
        </w:div>
        <w:div w:id="877398762">
          <w:marLeft w:val="0"/>
          <w:marRight w:val="0"/>
          <w:marTop w:val="0"/>
          <w:marBottom w:val="0"/>
          <w:divBdr>
            <w:top w:val="none" w:sz="0" w:space="0" w:color="auto"/>
            <w:left w:val="none" w:sz="0" w:space="0" w:color="auto"/>
            <w:bottom w:val="none" w:sz="0" w:space="0" w:color="auto"/>
            <w:right w:val="none" w:sz="0" w:space="0" w:color="auto"/>
          </w:divBdr>
        </w:div>
        <w:div w:id="781728427">
          <w:marLeft w:val="0"/>
          <w:marRight w:val="0"/>
          <w:marTop w:val="0"/>
          <w:marBottom w:val="0"/>
          <w:divBdr>
            <w:top w:val="none" w:sz="0" w:space="0" w:color="auto"/>
            <w:left w:val="none" w:sz="0" w:space="0" w:color="auto"/>
            <w:bottom w:val="none" w:sz="0" w:space="0" w:color="auto"/>
            <w:right w:val="none" w:sz="0" w:space="0" w:color="auto"/>
          </w:divBdr>
        </w:div>
        <w:div w:id="1753115239">
          <w:marLeft w:val="0"/>
          <w:marRight w:val="0"/>
          <w:marTop w:val="0"/>
          <w:marBottom w:val="0"/>
          <w:divBdr>
            <w:top w:val="none" w:sz="0" w:space="0" w:color="auto"/>
            <w:left w:val="none" w:sz="0" w:space="0" w:color="auto"/>
            <w:bottom w:val="none" w:sz="0" w:space="0" w:color="auto"/>
            <w:right w:val="none" w:sz="0" w:space="0" w:color="auto"/>
          </w:divBdr>
          <w:divsChild>
            <w:div w:id="1972051326">
              <w:marLeft w:val="0"/>
              <w:marRight w:val="0"/>
              <w:marTop w:val="0"/>
              <w:marBottom w:val="0"/>
              <w:divBdr>
                <w:top w:val="none" w:sz="0" w:space="0" w:color="auto"/>
                <w:left w:val="none" w:sz="0" w:space="0" w:color="auto"/>
                <w:bottom w:val="none" w:sz="0" w:space="0" w:color="auto"/>
                <w:right w:val="none" w:sz="0" w:space="0" w:color="auto"/>
              </w:divBdr>
            </w:div>
            <w:div w:id="2056544387">
              <w:marLeft w:val="0"/>
              <w:marRight w:val="0"/>
              <w:marTop w:val="0"/>
              <w:marBottom w:val="0"/>
              <w:divBdr>
                <w:top w:val="none" w:sz="0" w:space="0" w:color="auto"/>
                <w:left w:val="none" w:sz="0" w:space="0" w:color="auto"/>
                <w:bottom w:val="none" w:sz="0" w:space="0" w:color="auto"/>
                <w:right w:val="none" w:sz="0" w:space="0" w:color="auto"/>
              </w:divBdr>
            </w:div>
            <w:div w:id="556278559">
              <w:marLeft w:val="0"/>
              <w:marRight w:val="0"/>
              <w:marTop w:val="0"/>
              <w:marBottom w:val="0"/>
              <w:divBdr>
                <w:top w:val="none" w:sz="0" w:space="0" w:color="auto"/>
                <w:left w:val="none" w:sz="0" w:space="0" w:color="auto"/>
                <w:bottom w:val="none" w:sz="0" w:space="0" w:color="auto"/>
                <w:right w:val="none" w:sz="0" w:space="0" w:color="auto"/>
              </w:divBdr>
            </w:div>
            <w:div w:id="1871795330">
              <w:marLeft w:val="0"/>
              <w:marRight w:val="0"/>
              <w:marTop w:val="0"/>
              <w:marBottom w:val="0"/>
              <w:divBdr>
                <w:top w:val="none" w:sz="0" w:space="0" w:color="auto"/>
                <w:left w:val="none" w:sz="0" w:space="0" w:color="auto"/>
                <w:bottom w:val="none" w:sz="0" w:space="0" w:color="auto"/>
                <w:right w:val="none" w:sz="0" w:space="0" w:color="auto"/>
              </w:divBdr>
            </w:div>
            <w:div w:id="467748512">
              <w:marLeft w:val="0"/>
              <w:marRight w:val="0"/>
              <w:marTop w:val="0"/>
              <w:marBottom w:val="0"/>
              <w:divBdr>
                <w:top w:val="none" w:sz="0" w:space="0" w:color="auto"/>
                <w:left w:val="none" w:sz="0" w:space="0" w:color="auto"/>
                <w:bottom w:val="none" w:sz="0" w:space="0" w:color="auto"/>
                <w:right w:val="none" w:sz="0" w:space="0" w:color="auto"/>
              </w:divBdr>
            </w:div>
            <w:div w:id="2070348886">
              <w:marLeft w:val="0"/>
              <w:marRight w:val="0"/>
              <w:marTop w:val="0"/>
              <w:marBottom w:val="0"/>
              <w:divBdr>
                <w:top w:val="none" w:sz="0" w:space="0" w:color="auto"/>
                <w:left w:val="none" w:sz="0" w:space="0" w:color="auto"/>
                <w:bottom w:val="none" w:sz="0" w:space="0" w:color="auto"/>
                <w:right w:val="none" w:sz="0" w:space="0" w:color="auto"/>
              </w:divBdr>
            </w:div>
            <w:div w:id="1418868159">
              <w:marLeft w:val="0"/>
              <w:marRight w:val="0"/>
              <w:marTop w:val="0"/>
              <w:marBottom w:val="0"/>
              <w:divBdr>
                <w:top w:val="none" w:sz="0" w:space="0" w:color="auto"/>
                <w:left w:val="none" w:sz="0" w:space="0" w:color="auto"/>
                <w:bottom w:val="none" w:sz="0" w:space="0" w:color="auto"/>
                <w:right w:val="none" w:sz="0" w:space="0" w:color="auto"/>
              </w:divBdr>
            </w:div>
            <w:div w:id="114715695">
              <w:marLeft w:val="0"/>
              <w:marRight w:val="0"/>
              <w:marTop w:val="0"/>
              <w:marBottom w:val="0"/>
              <w:divBdr>
                <w:top w:val="none" w:sz="0" w:space="0" w:color="auto"/>
                <w:left w:val="none" w:sz="0" w:space="0" w:color="auto"/>
                <w:bottom w:val="none" w:sz="0" w:space="0" w:color="auto"/>
                <w:right w:val="none" w:sz="0" w:space="0" w:color="auto"/>
              </w:divBdr>
            </w:div>
            <w:div w:id="1727340271">
              <w:marLeft w:val="0"/>
              <w:marRight w:val="0"/>
              <w:marTop w:val="0"/>
              <w:marBottom w:val="0"/>
              <w:divBdr>
                <w:top w:val="none" w:sz="0" w:space="0" w:color="auto"/>
                <w:left w:val="none" w:sz="0" w:space="0" w:color="auto"/>
                <w:bottom w:val="none" w:sz="0" w:space="0" w:color="auto"/>
                <w:right w:val="none" w:sz="0" w:space="0" w:color="auto"/>
              </w:divBdr>
            </w:div>
            <w:div w:id="1520311279">
              <w:marLeft w:val="0"/>
              <w:marRight w:val="0"/>
              <w:marTop w:val="0"/>
              <w:marBottom w:val="0"/>
              <w:divBdr>
                <w:top w:val="none" w:sz="0" w:space="0" w:color="auto"/>
                <w:left w:val="none" w:sz="0" w:space="0" w:color="auto"/>
                <w:bottom w:val="none" w:sz="0" w:space="0" w:color="auto"/>
                <w:right w:val="none" w:sz="0" w:space="0" w:color="auto"/>
              </w:divBdr>
            </w:div>
            <w:div w:id="958030832">
              <w:marLeft w:val="0"/>
              <w:marRight w:val="0"/>
              <w:marTop w:val="0"/>
              <w:marBottom w:val="0"/>
              <w:divBdr>
                <w:top w:val="none" w:sz="0" w:space="0" w:color="auto"/>
                <w:left w:val="none" w:sz="0" w:space="0" w:color="auto"/>
                <w:bottom w:val="none" w:sz="0" w:space="0" w:color="auto"/>
                <w:right w:val="none" w:sz="0" w:space="0" w:color="auto"/>
              </w:divBdr>
            </w:div>
            <w:div w:id="476921558">
              <w:marLeft w:val="0"/>
              <w:marRight w:val="0"/>
              <w:marTop w:val="0"/>
              <w:marBottom w:val="0"/>
              <w:divBdr>
                <w:top w:val="none" w:sz="0" w:space="0" w:color="auto"/>
                <w:left w:val="none" w:sz="0" w:space="0" w:color="auto"/>
                <w:bottom w:val="none" w:sz="0" w:space="0" w:color="auto"/>
                <w:right w:val="none" w:sz="0" w:space="0" w:color="auto"/>
              </w:divBdr>
            </w:div>
            <w:div w:id="923415262">
              <w:marLeft w:val="0"/>
              <w:marRight w:val="0"/>
              <w:marTop w:val="0"/>
              <w:marBottom w:val="0"/>
              <w:divBdr>
                <w:top w:val="none" w:sz="0" w:space="0" w:color="auto"/>
                <w:left w:val="none" w:sz="0" w:space="0" w:color="auto"/>
                <w:bottom w:val="none" w:sz="0" w:space="0" w:color="auto"/>
                <w:right w:val="none" w:sz="0" w:space="0" w:color="auto"/>
              </w:divBdr>
            </w:div>
            <w:div w:id="17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52344">
      <w:bodyDiv w:val="1"/>
      <w:marLeft w:val="0"/>
      <w:marRight w:val="0"/>
      <w:marTop w:val="0"/>
      <w:marBottom w:val="0"/>
      <w:divBdr>
        <w:top w:val="none" w:sz="0" w:space="0" w:color="auto"/>
        <w:left w:val="none" w:sz="0" w:space="0" w:color="auto"/>
        <w:bottom w:val="none" w:sz="0" w:space="0" w:color="auto"/>
        <w:right w:val="none" w:sz="0" w:space="0" w:color="auto"/>
      </w:divBdr>
    </w:div>
    <w:div w:id="712968779">
      <w:bodyDiv w:val="1"/>
      <w:marLeft w:val="0"/>
      <w:marRight w:val="0"/>
      <w:marTop w:val="0"/>
      <w:marBottom w:val="0"/>
      <w:divBdr>
        <w:top w:val="none" w:sz="0" w:space="0" w:color="auto"/>
        <w:left w:val="none" w:sz="0" w:space="0" w:color="auto"/>
        <w:bottom w:val="none" w:sz="0" w:space="0" w:color="auto"/>
        <w:right w:val="none" w:sz="0" w:space="0" w:color="auto"/>
      </w:divBdr>
    </w:div>
    <w:div w:id="853879753">
      <w:bodyDiv w:val="1"/>
      <w:marLeft w:val="0"/>
      <w:marRight w:val="0"/>
      <w:marTop w:val="0"/>
      <w:marBottom w:val="0"/>
      <w:divBdr>
        <w:top w:val="none" w:sz="0" w:space="0" w:color="auto"/>
        <w:left w:val="none" w:sz="0" w:space="0" w:color="auto"/>
        <w:bottom w:val="none" w:sz="0" w:space="0" w:color="auto"/>
        <w:right w:val="none" w:sz="0" w:space="0" w:color="auto"/>
      </w:divBdr>
    </w:div>
    <w:div w:id="909074342">
      <w:bodyDiv w:val="1"/>
      <w:marLeft w:val="0"/>
      <w:marRight w:val="0"/>
      <w:marTop w:val="0"/>
      <w:marBottom w:val="0"/>
      <w:divBdr>
        <w:top w:val="none" w:sz="0" w:space="0" w:color="auto"/>
        <w:left w:val="none" w:sz="0" w:space="0" w:color="auto"/>
        <w:bottom w:val="none" w:sz="0" w:space="0" w:color="auto"/>
        <w:right w:val="none" w:sz="0" w:space="0" w:color="auto"/>
      </w:divBdr>
    </w:div>
    <w:div w:id="912162197">
      <w:bodyDiv w:val="1"/>
      <w:marLeft w:val="0"/>
      <w:marRight w:val="0"/>
      <w:marTop w:val="0"/>
      <w:marBottom w:val="0"/>
      <w:divBdr>
        <w:top w:val="none" w:sz="0" w:space="0" w:color="auto"/>
        <w:left w:val="none" w:sz="0" w:space="0" w:color="auto"/>
        <w:bottom w:val="none" w:sz="0" w:space="0" w:color="auto"/>
        <w:right w:val="none" w:sz="0" w:space="0" w:color="auto"/>
      </w:divBdr>
    </w:div>
    <w:div w:id="1184856936">
      <w:bodyDiv w:val="1"/>
      <w:marLeft w:val="0"/>
      <w:marRight w:val="0"/>
      <w:marTop w:val="0"/>
      <w:marBottom w:val="0"/>
      <w:divBdr>
        <w:top w:val="none" w:sz="0" w:space="0" w:color="auto"/>
        <w:left w:val="none" w:sz="0" w:space="0" w:color="auto"/>
        <w:bottom w:val="none" w:sz="0" w:space="0" w:color="auto"/>
        <w:right w:val="none" w:sz="0" w:space="0" w:color="auto"/>
      </w:divBdr>
    </w:div>
    <w:div w:id="1190023377">
      <w:bodyDiv w:val="1"/>
      <w:marLeft w:val="0"/>
      <w:marRight w:val="0"/>
      <w:marTop w:val="0"/>
      <w:marBottom w:val="0"/>
      <w:divBdr>
        <w:top w:val="none" w:sz="0" w:space="0" w:color="auto"/>
        <w:left w:val="none" w:sz="0" w:space="0" w:color="auto"/>
        <w:bottom w:val="none" w:sz="0" w:space="0" w:color="auto"/>
        <w:right w:val="none" w:sz="0" w:space="0" w:color="auto"/>
      </w:divBdr>
    </w:div>
    <w:div w:id="1264191302">
      <w:bodyDiv w:val="1"/>
      <w:marLeft w:val="0"/>
      <w:marRight w:val="0"/>
      <w:marTop w:val="0"/>
      <w:marBottom w:val="0"/>
      <w:divBdr>
        <w:top w:val="none" w:sz="0" w:space="0" w:color="auto"/>
        <w:left w:val="none" w:sz="0" w:space="0" w:color="auto"/>
        <w:bottom w:val="none" w:sz="0" w:space="0" w:color="auto"/>
        <w:right w:val="none" w:sz="0" w:space="0" w:color="auto"/>
      </w:divBdr>
    </w:div>
    <w:div w:id="1432509036">
      <w:bodyDiv w:val="1"/>
      <w:marLeft w:val="0"/>
      <w:marRight w:val="0"/>
      <w:marTop w:val="0"/>
      <w:marBottom w:val="0"/>
      <w:divBdr>
        <w:top w:val="none" w:sz="0" w:space="0" w:color="auto"/>
        <w:left w:val="none" w:sz="0" w:space="0" w:color="auto"/>
        <w:bottom w:val="none" w:sz="0" w:space="0" w:color="auto"/>
        <w:right w:val="none" w:sz="0" w:space="0" w:color="auto"/>
      </w:divBdr>
    </w:div>
    <w:div w:id="1553614407">
      <w:bodyDiv w:val="1"/>
      <w:marLeft w:val="0"/>
      <w:marRight w:val="0"/>
      <w:marTop w:val="0"/>
      <w:marBottom w:val="0"/>
      <w:divBdr>
        <w:top w:val="none" w:sz="0" w:space="0" w:color="auto"/>
        <w:left w:val="none" w:sz="0" w:space="0" w:color="auto"/>
        <w:bottom w:val="none" w:sz="0" w:space="0" w:color="auto"/>
        <w:right w:val="none" w:sz="0" w:space="0" w:color="auto"/>
      </w:divBdr>
    </w:div>
    <w:div w:id="1675299563">
      <w:bodyDiv w:val="1"/>
      <w:marLeft w:val="0"/>
      <w:marRight w:val="0"/>
      <w:marTop w:val="0"/>
      <w:marBottom w:val="0"/>
      <w:divBdr>
        <w:top w:val="none" w:sz="0" w:space="0" w:color="auto"/>
        <w:left w:val="none" w:sz="0" w:space="0" w:color="auto"/>
        <w:bottom w:val="none" w:sz="0" w:space="0" w:color="auto"/>
        <w:right w:val="none" w:sz="0" w:space="0" w:color="auto"/>
      </w:divBdr>
    </w:div>
    <w:div w:id="1721857958">
      <w:bodyDiv w:val="1"/>
      <w:marLeft w:val="0"/>
      <w:marRight w:val="0"/>
      <w:marTop w:val="0"/>
      <w:marBottom w:val="0"/>
      <w:divBdr>
        <w:top w:val="none" w:sz="0" w:space="0" w:color="auto"/>
        <w:left w:val="none" w:sz="0" w:space="0" w:color="auto"/>
        <w:bottom w:val="none" w:sz="0" w:space="0" w:color="auto"/>
        <w:right w:val="none" w:sz="0" w:space="0" w:color="auto"/>
      </w:divBdr>
    </w:div>
    <w:div w:id="1866291483">
      <w:bodyDiv w:val="1"/>
      <w:marLeft w:val="0"/>
      <w:marRight w:val="0"/>
      <w:marTop w:val="0"/>
      <w:marBottom w:val="0"/>
      <w:divBdr>
        <w:top w:val="none" w:sz="0" w:space="0" w:color="auto"/>
        <w:left w:val="none" w:sz="0" w:space="0" w:color="auto"/>
        <w:bottom w:val="none" w:sz="0" w:space="0" w:color="auto"/>
        <w:right w:val="none" w:sz="0" w:space="0" w:color="auto"/>
      </w:divBdr>
    </w:div>
    <w:div w:id="1919486128">
      <w:bodyDiv w:val="1"/>
      <w:marLeft w:val="0"/>
      <w:marRight w:val="0"/>
      <w:marTop w:val="0"/>
      <w:marBottom w:val="0"/>
      <w:divBdr>
        <w:top w:val="none" w:sz="0" w:space="0" w:color="auto"/>
        <w:left w:val="none" w:sz="0" w:space="0" w:color="auto"/>
        <w:bottom w:val="none" w:sz="0" w:space="0" w:color="auto"/>
        <w:right w:val="none" w:sz="0" w:space="0" w:color="auto"/>
      </w:divBdr>
    </w:div>
    <w:div w:id="1949118766">
      <w:bodyDiv w:val="1"/>
      <w:marLeft w:val="0"/>
      <w:marRight w:val="0"/>
      <w:marTop w:val="0"/>
      <w:marBottom w:val="0"/>
      <w:divBdr>
        <w:top w:val="none" w:sz="0" w:space="0" w:color="auto"/>
        <w:left w:val="none" w:sz="0" w:space="0" w:color="auto"/>
        <w:bottom w:val="none" w:sz="0" w:space="0" w:color="auto"/>
        <w:right w:val="none" w:sz="0" w:space="0" w:color="auto"/>
      </w:divBdr>
      <w:divsChild>
        <w:div w:id="460154580">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664504291">
          <w:marLeft w:val="0"/>
          <w:marRight w:val="0"/>
          <w:marTop w:val="0"/>
          <w:marBottom w:val="0"/>
          <w:divBdr>
            <w:top w:val="none" w:sz="0" w:space="0" w:color="auto"/>
            <w:left w:val="none" w:sz="0" w:space="0" w:color="auto"/>
            <w:bottom w:val="none" w:sz="0" w:space="0" w:color="auto"/>
            <w:right w:val="none" w:sz="0" w:space="0" w:color="auto"/>
          </w:divBdr>
        </w:div>
        <w:div w:id="383720941">
          <w:marLeft w:val="0"/>
          <w:marRight w:val="0"/>
          <w:marTop w:val="0"/>
          <w:marBottom w:val="0"/>
          <w:divBdr>
            <w:top w:val="none" w:sz="0" w:space="0" w:color="auto"/>
            <w:left w:val="none" w:sz="0" w:space="0" w:color="auto"/>
            <w:bottom w:val="none" w:sz="0" w:space="0" w:color="auto"/>
            <w:right w:val="none" w:sz="0" w:space="0" w:color="auto"/>
          </w:divBdr>
        </w:div>
        <w:div w:id="246043604">
          <w:marLeft w:val="0"/>
          <w:marRight w:val="0"/>
          <w:marTop w:val="0"/>
          <w:marBottom w:val="0"/>
          <w:divBdr>
            <w:top w:val="none" w:sz="0" w:space="0" w:color="auto"/>
            <w:left w:val="none" w:sz="0" w:space="0" w:color="auto"/>
            <w:bottom w:val="none" w:sz="0" w:space="0" w:color="auto"/>
            <w:right w:val="none" w:sz="0" w:space="0" w:color="auto"/>
          </w:divBdr>
        </w:div>
        <w:div w:id="933442476">
          <w:marLeft w:val="0"/>
          <w:marRight w:val="0"/>
          <w:marTop w:val="0"/>
          <w:marBottom w:val="0"/>
          <w:divBdr>
            <w:top w:val="none" w:sz="0" w:space="0" w:color="auto"/>
            <w:left w:val="none" w:sz="0" w:space="0" w:color="auto"/>
            <w:bottom w:val="none" w:sz="0" w:space="0" w:color="auto"/>
            <w:right w:val="none" w:sz="0" w:space="0" w:color="auto"/>
          </w:divBdr>
          <w:divsChild>
            <w:div w:id="1237668723">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 w:id="639309664">
              <w:marLeft w:val="0"/>
              <w:marRight w:val="0"/>
              <w:marTop w:val="0"/>
              <w:marBottom w:val="0"/>
              <w:divBdr>
                <w:top w:val="none" w:sz="0" w:space="0" w:color="auto"/>
                <w:left w:val="none" w:sz="0" w:space="0" w:color="auto"/>
                <w:bottom w:val="none" w:sz="0" w:space="0" w:color="auto"/>
                <w:right w:val="none" w:sz="0" w:space="0" w:color="auto"/>
              </w:divBdr>
            </w:div>
            <w:div w:id="1031106854">
              <w:marLeft w:val="0"/>
              <w:marRight w:val="0"/>
              <w:marTop w:val="0"/>
              <w:marBottom w:val="0"/>
              <w:divBdr>
                <w:top w:val="none" w:sz="0" w:space="0" w:color="auto"/>
                <w:left w:val="none" w:sz="0" w:space="0" w:color="auto"/>
                <w:bottom w:val="none" w:sz="0" w:space="0" w:color="auto"/>
                <w:right w:val="none" w:sz="0" w:space="0" w:color="auto"/>
              </w:divBdr>
            </w:div>
            <w:div w:id="201615435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 w:id="1453745755">
              <w:marLeft w:val="0"/>
              <w:marRight w:val="0"/>
              <w:marTop w:val="0"/>
              <w:marBottom w:val="0"/>
              <w:divBdr>
                <w:top w:val="none" w:sz="0" w:space="0" w:color="auto"/>
                <w:left w:val="none" w:sz="0" w:space="0" w:color="auto"/>
                <w:bottom w:val="none" w:sz="0" w:space="0" w:color="auto"/>
                <w:right w:val="none" w:sz="0" w:space="0" w:color="auto"/>
              </w:divBdr>
            </w:div>
            <w:div w:id="1713456455">
              <w:marLeft w:val="0"/>
              <w:marRight w:val="0"/>
              <w:marTop w:val="0"/>
              <w:marBottom w:val="0"/>
              <w:divBdr>
                <w:top w:val="none" w:sz="0" w:space="0" w:color="auto"/>
                <w:left w:val="none" w:sz="0" w:space="0" w:color="auto"/>
                <w:bottom w:val="none" w:sz="0" w:space="0" w:color="auto"/>
                <w:right w:val="none" w:sz="0" w:space="0" w:color="auto"/>
              </w:divBdr>
            </w:div>
            <w:div w:id="1408843076">
              <w:marLeft w:val="0"/>
              <w:marRight w:val="0"/>
              <w:marTop w:val="0"/>
              <w:marBottom w:val="0"/>
              <w:divBdr>
                <w:top w:val="none" w:sz="0" w:space="0" w:color="auto"/>
                <w:left w:val="none" w:sz="0" w:space="0" w:color="auto"/>
                <w:bottom w:val="none" w:sz="0" w:space="0" w:color="auto"/>
                <w:right w:val="none" w:sz="0" w:space="0" w:color="auto"/>
              </w:divBdr>
            </w:div>
            <w:div w:id="12155104">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046414745">
              <w:marLeft w:val="0"/>
              <w:marRight w:val="0"/>
              <w:marTop w:val="0"/>
              <w:marBottom w:val="0"/>
              <w:divBdr>
                <w:top w:val="none" w:sz="0" w:space="0" w:color="auto"/>
                <w:left w:val="none" w:sz="0" w:space="0" w:color="auto"/>
                <w:bottom w:val="none" w:sz="0" w:space="0" w:color="auto"/>
                <w:right w:val="none" w:sz="0" w:space="0" w:color="auto"/>
              </w:divBdr>
            </w:div>
            <w:div w:id="1105425493">
              <w:marLeft w:val="0"/>
              <w:marRight w:val="0"/>
              <w:marTop w:val="0"/>
              <w:marBottom w:val="0"/>
              <w:divBdr>
                <w:top w:val="none" w:sz="0" w:space="0" w:color="auto"/>
                <w:left w:val="none" w:sz="0" w:space="0" w:color="auto"/>
                <w:bottom w:val="none" w:sz="0" w:space="0" w:color="auto"/>
                <w:right w:val="none" w:sz="0" w:space="0" w:color="auto"/>
              </w:divBdr>
            </w:div>
            <w:div w:id="2870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4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20/10/relationships/intelligence" Target="intelligence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3.png" Id="R51e68ab842a94f01" /><Relationship Type="http://schemas.openxmlformats.org/officeDocument/2006/relationships/hyperlink" Target="https://forms.gle/dnkB5StY3qH8zJ2i7" TargetMode="External" Id="R7182f77775334e03" /><Relationship Type="http://schemas.openxmlformats.org/officeDocument/2006/relationships/hyperlink" Target="https://gmuedu-my.sharepoint.com/:w:/g/personal/jbanks21_gmu_edu/ETRiiKUg_lBLssKoLTWr-rMBCfC-J6AXj4V0j-EaXZWCwA?e=KK5QZt" TargetMode="External" Id="Rbc5b8fbac0e24957" /><Relationship Type="http://schemas.openxmlformats.org/officeDocument/2006/relationships/hyperlink" Target="https://sitesed.cde.state.co.us/mod/book/tool/print/index.php?id=8030" TargetMode="External" Id="Rcb994ef636fb45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Z7vAhPj879/onCrgTP22JyyPg==">CgMxLjA4AHIhMURJSFJ4ODk2eWRyM08yZkNwSWhFYXRtb1FtREk4VGVY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kwilli91</dc:creator>
  <lastModifiedBy>Joy Banks</lastModifiedBy>
  <revision>15</revision>
  <lastPrinted>2024-01-12T02:42:00.0000000Z</lastPrinted>
  <dcterms:created xsi:type="dcterms:W3CDTF">2024-01-12T05:00:00.0000000Z</dcterms:created>
  <dcterms:modified xsi:type="dcterms:W3CDTF">2024-01-17T13:22:53.5091429Z</dcterms:modified>
</coreProperties>
</file>